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78"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61"/>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6-K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Report of Foreign Private Issuer</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Rule 13a-16 or 15d-16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August 17,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Commission File Number 001-37791</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9" w:after="362"/>
        <w:jc w:val="center"/>
        <w:rPr>
          <w:rFonts w:ascii="Times New Roman;serif" w:hAnsi="Times New Roman;serif"/>
          <w:b/>
          <w:color w:val="000000"/>
          <w:sz w:val="46"/>
        </w:rPr>
      </w:pPr>
      <w:r>
        <w:rPr>
          <w:rFonts w:ascii="Times New Roman;serif" w:hAnsi="Times New Roman;serif"/>
          <w:b/>
          <w:color w:val="000000"/>
          <w:sz w:val="46"/>
        </w:rPr>
        <w:t>COCA-COLA EUROPACIFIC PARTNERS PLC</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5" w:after="283"/>
        <w:jc w:val="center"/>
        <w:rPr>
          <w:rFonts w:ascii="Times New Roman;serif" w:hAnsi="Times New Roman;serif"/>
          <w:b/>
          <w:color w:val="000000"/>
          <w:sz w:val="20"/>
        </w:rPr>
      </w:pPr>
      <w:r>
        <w:rPr>
          <w:rFonts w:ascii="Times New Roman;serif" w:hAnsi="Times New Roman;serif"/>
          <w:b/>
          <w:color w:val="000000"/>
          <w:sz w:val="20"/>
        </w:rPr>
        <w:t>Pemberton House, Bakers Road</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Uxbridge, UB8 1EZ, United Kingdom</w:t>
      </w:r>
    </w:p>
    <w:p>
      <w:pPr>
        <w:pStyle w:val="TextBody"/>
        <w:bidi w:val="0"/>
        <w:spacing w:lineRule="auto" w:line="288" w:before="0" w:after="370"/>
        <w:jc w:val="center"/>
        <w:rPr>
          <w:rFonts w:ascii="Times New Roman;serif" w:hAnsi="Times New Roman;serif"/>
          <w:b/>
          <w:color w:val="000000"/>
          <w:sz w:val="16"/>
        </w:rPr>
      </w:pPr>
      <w:r>
        <w:rPr>
          <w:rFonts w:ascii="Times New Roman;serif" w:hAnsi="Times New Roman;serif"/>
          <w:b/>
          <w:color w:val="000000"/>
          <w:sz w:val="16"/>
        </w:rPr>
        <w:t>(Address of principal executive office)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90" w:after="283"/>
        <w:jc w:val="center"/>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88" w:before="290" w:after="283"/>
        <w:jc w:val="center"/>
        <w:rPr/>
      </w:pPr>
      <w:r>
        <w:rPr>
          <w:rFonts w:ascii="Times New Roman;serif" w:hAnsi="Times New Roman;serif"/>
          <w:b w:val="false"/>
          <w:color w:val="000000"/>
          <w:sz w:val="20"/>
        </w:rPr>
        <w:t xml:space="preserve">(Check One) Form 20-F </w:t>
      </w:r>
      <w:r>
        <w:rPr>
          <w:color w:val="000000"/>
        </w:rPr>
        <w:t xml:space="preserve">☒ </w:t>
      </w:r>
      <w:r>
        <w:rPr>
          <w:rFonts w:ascii="Times New Roman;serif" w:hAnsi="Times New Roman;serif"/>
          <w:b w:val="false"/>
          <w:color w:val="000000"/>
          <w:sz w:val="20"/>
        </w:rPr>
        <w:t xml:space="preserve">Form 40-F </w:t>
      </w:r>
      <w:r>
        <w:rPr>
          <w:rFonts w:ascii="Times New Roman;serif" w:hAnsi="Times New Roman;serif"/>
          <w:b w:val="false"/>
          <w:color w:val="000000"/>
          <w:sz w:val="22"/>
        </w:rPr>
        <w:t xml:space="preserve">D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0"/>
        <w:jc w:val="left"/>
        <w:rPr/>
      </w:pPr>
      <w:r>
        <w:rPr/>
      </w:r>
    </w:p>
    <w:p>
      <w:pPr>
        <w:pStyle w:val="TextBody"/>
        <w:bidi w:val="0"/>
        <w:spacing w:before="0" w:after="0"/>
        <w:jc w:val="left"/>
        <w:rPr/>
      </w:pPr>
      <w:r>
        <w:rPr/>
        <w:drawing>
          <wp:inline distT="0" distB="0" distL="0" distR="0">
            <wp:extent cx="1343025" cy="904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280"/>
        <w:jc w:val="left"/>
        <w:rPr>
          <w:rFonts w:ascii="Times New Roman;serif" w:hAnsi="Times New Roman;serif"/>
          <w:b/>
          <w:color w:val="000000"/>
          <w:sz w:val="24"/>
        </w:rPr>
      </w:pPr>
      <w:r>
        <w:rPr>
          <w:rFonts w:ascii="Times New Roman;serif" w:hAnsi="Times New Roman;serif"/>
          <w:b/>
          <w:color w:val="000000"/>
          <w:sz w:val="24"/>
        </w:rPr>
        <w:t>August 17, 2026</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 xml:space="preserve">Coca-Cola Europacific Partners plc (the “Company”) </w:t>
      </w:r>
    </w:p>
    <w:p>
      <w:pPr>
        <w:pStyle w:val="TextBody"/>
        <w:bidi w:val="0"/>
        <w:spacing w:lineRule="auto" w:line="256" w:before="0" w:after="0"/>
        <w:jc w:val="center"/>
        <w:rPr>
          <w:rFonts w:ascii="Arial;sans-serif" w:hAnsi="Arial;sans-serif"/>
          <w:b/>
          <w:color w:val="000000"/>
          <w:sz w:val="22"/>
        </w:rPr>
      </w:pPr>
      <w:r>
        <w:rPr>
          <w:rFonts w:ascii="Arial;sans-serif" w:hAnsi="Arial;sans-serif"/>
          <w:b/>
          <w:color w:val="000000"/>
          <w:sz w:val="22"/>
        </w:rPr>
        <w:t>Transactions in Own Shares</w:t>
      </w:r>
    </w:p>
    <w:p>
      <w:pPr>
        <w:pStyle w:val="TextBody"/>
        <w:bidi w:val="0"/>
        <w:spacing w:before="0" w:after="0"/>
        <w:jc w:val="center"/>
        <w:rPr/>
      </w:pPr>
      <w:r>
        <w:rPr/>
      </w:r>
    </w:p>
    <w:p>
      <w:pPr>
        <w:pStyle w:val="TextBody"/>
        <w:bidi w:val="0"/>
        <w:spacing w:lineRule="auto" w:line="256" w:before="0" w:after="0"/>
        <w:jc w:val="left"/>
        <w:rPr/>
      </w:pPr>
      <w:r>
        <w:rPr>
          <w:rFonts w:ascii="Arial;sans-serif" w:hAnsi="Arial;sans-serif"/>
          <w:b w:val="false"/>
          <w:color w:val="000000"/>
          <w:sz w:val="22"/>
          <w:shd w:fill="FFFFFF" w:val="clear"/>
        </w:rPr>
        <w:t xml:space="preserve">The Company confirms that from 10 August 2026 up to and including 14 August 2026 it </w:t>
      </w:r>
      <w:r>
        <w:rPr>
          <w:rFonts w:ascii="Arial;sans-serif" w:hAnsi="Arial;sans-serif"/>
          <w:b w:val="false"/>
          <w:color w:val="000000"/>
          <w:sz w:val="22"/>
        </w:rPr>
        <w:t>purchased a total of: (i) 155,000 ordinary shares of EUR 0.01 ("</w:t>
      </w:r>
      <w:r>
        <w:rPr>
          <w:rFonts w:ascii="Arial;sans-serif" w:hAnsi="Arial;sans-serif"/>
          <w:b/>
          <w:color w:val="000000"/>
          <w:sz w:val="22"/>
        </w:rPr>
        <w:t>ordinary shares</w:t>
      </w:r>
      <w:r>
        <w:rPr>
          <w:rFonts w:ascii="Arial;sans-serif" w:hAnsi="Arial;sans-serif"/>
          <w:b w:val="false"/>
          <w:color w:val="000000"/>
          <w:sz w:val="22"/>
        </w:rPr>
        <w:t>") on the US Trading Venues</w:t>
      </w:r>
      <w:r>
        <w:rPr>
          <w:rFonts w:ascii="Arial;sans-serif" w:hAnsi="Arial;sans-serif"/>
          <w:b/>
          <w:color w:val="000000"/>
          <w:sz w:val="14"/>
        </w:rPr>
        <w:t>[1]</w:t>
      </w:r>
      <w:r>
        <w:rPr>
          <w:color w:val="000000"/>
        </w:rPr>
        <w:t xml:space="preserve"> </w:t>
      </w:r>
      <w:r>
        <w:rPr>
          <w:rFonts w:ascii="Arial;sans-serif" w:hAnsi="Arial;sans-serif"/>
          <w:b w:val="false"/>
          <w:color w:val="000000"/>
          <w:sz w:val="22"/>
        </w:rPr>
        <w:t>and (ii) 62,456 ordinary shares on the London Trading Venues</w:t>
      </w:r>
      <w:r>
        <w:rPr>
          <w:rFonts w:ascii="Arial;sans-serif" w:hAnsi="Arial;sans-serif"/>
          <w:b/>
          <w:color w:val="000000"/>
          <w:sz w:val="14"/>
        </w:rPr>
        <w:t>[2]</w:t>
      </w:r>
      <w:r>
        <w:rPr>
          <w:rFonts w:ascii="Arial;sans-serif" w:hAnsi="Arial;sans-serif"/>
          <w:b w:val="false"/>
          <w:color w:val="000000"/>
          <w:sz w:val="22"/>
        </w:rPr>
        <w:t>; in both cases, from Goldman Sachs &amp; Co. LLC, Goldman Sachs International or one of their affiliates, as detailed below.</w:t>
      </w:r>
    </w:p>
    <w:p>
      <w:pPr>
        <w:pStyle w:val="TextBody"/>
        <w:bidi w:val="0"/>
        <w:spacing w:before="0" w:after="0"/>
        <w:jc w:val="both"/>
        <w:rPr/>
      </w:pPr>
      <w:r>
        <w:rPr/>
      </w:r>
    </w:p>
    <w:p>
      <w:pPr>
        <w:pStyle w:val="TextBody"/>
        <w:bidi w:val="0"/>
        <w:spacing w:lineRule="auto" w:line="256" w:before="0" w:after="0"/>
        <w:jc w:val="left"/>
        <w:rPr>
          <w:rFonts w:ascii="Arial;sans-serif" w:hAnsi="Arial;sans-serif"/>
          <w:b w:val="false"/>
          <w:color w:val="000000"/>
          <w:sz w:val="22"/>
        </w:rPr>
      </w:pPr>
      <w:r>
        <w:rPr>
          <w:rFonts w:ascii="Arial;sans-serif" w:hAnsi="Arial;sans-serif"/>
          <w:b w:val="false"/>
          <w:color w:val="000000"/>
          <w:sz w:val="22"/>
        </w:rPr>
        <w:t>The repurchased ordinary shares will be cancelled.</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74"/>
        <w:gridCol w:w="328"/>
        <w:gridCol w:w="336"/>
        <w:gridCol w:w="837"/>
        <w:gridCol w:w="837"/>
        <w:gridCol w:w="839"/>
        <w:gridCol w:w="445"/>
        <w:gridCol w:w="436"/>
        <w:gridCol w:w="437"/>
        <w:gridCol w:w="675"/>
        <w:gridCol w:w="666"/>
        <w:gridCol w:w="669"/>
        <w:gridCol w:w="596"/>
        <w:gridCol w:w="596"/>
        <w:gridCol w:w="597"/>
        <w:gridCol w:w="511"/>
        <w:gridCol w:w="421"/>
        <w:gridCol w:w="605"/>
      </w:tblGrid>
      <w:tr>
        <w:trPr/>
        <w:tc>
          <w:tcPr>
            <w:tcW w:w="37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103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283"/>
              <w:jc w:val="center"/>
              <w:rPr>
                <w:rFonts w:ascii="Arial;sans-serif" w:hAnsi="Arial;sans-serif"/>
                <w:b/>
                <w:color w:val="000000"/>
                <w:sz w:val="20"/>
              </w:rPr>
            </w:pPr>
            <w:r>
              <w:rPr>
                <w:rFonts w:ascii="Arial;sans-serif" w:hAnsi="Arial;sans-serif"/>
                <w:b/>
                <w:color w:val="000000"/>
                <w:sz w:val="20"/>
              </w:rPr>
              <w:t>Date</w:t>
            </w:r>
          </w:p>
        </w:tc>
        <w:tc>
          <w:tcPr>
            <w:tcW w:w="2513"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Aggregate number of ordinary shares purchased</w:t>
            </w:r>
          </w:p>
        </w:tc>
        <w:tc>
          <w:tcPr>
            <w:tcW w:w="1318"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Highest price paid</w:t>
            </w:r>
          </w:p>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(per ordinary share)</w:t>
            </w:r>
          </w:p>
        </w:tc>
        <w:tc>
          <w:tcPr>
            <w:tcW w:w="2010"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Lowest price paid (per ordinary share)</w:t>
            </w:r>
          </w:p>
        </w:tc>
        <w:tc>
          <w:tcPr>
            <w:tcW w:w="1789" w:type="dxa"/>
            <w:gridSpan w:val="3"/>
            <w:tcBorders>
              <w:top w:val="single" w:sz="8" w:space="0" w:color="000000"/>
              <w:left w:val="single" w:sz="8" w:space="0" w:color="000000"/>
            </w:tcBorders>
            <w:shd w:fill="FFFFFF" w:val="clear"/>
            <w:tcMar>
              <w:top w:w="30" w:type="dxa"/>
              <w:bottom w:w="0" w:type="dxa"/>
              <w:right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Volume weighted average price</w:t>
            </w:r>
          </w:p>
        </w:tc>
        <w:tc>
          <w:tcPr>
            <w:tcW w:w="1537" w:type="dxa"/>
            <w:gridSpan w:val="3"/>
            <w:tcBorders>
              <w:top w:val="single" w:sz="8" w:space="0" w:color="000000"/>
              <w:left w:val="single" w:sz="8" w:space="0" w:color="000000"/>
              <w:right w:val="single" w:sz="8" w:space="0" w:color="000000"/>
            </w:tcBorders>
            <w:shd w:fill="FFFFFF" w:val="clear"/>
            <w:tcMar>
              <w:top w:w="30" w:type="dxa"/>
              <w:bottom w:w="0" w:type="dxa"/>
            </w:tcMar>
            <w:vAlign w:val="center"/>
          </w:tcPr>
          <w:p>
            <w:pPr>
              <w:pStyle w:val="TableContents"/>
              <w:bidi w:val="0"/>
              <w:spacing w:lineRule="auto" w:line="268" w:before="0" w:after="0"/>
              <w:jc w:val="center"/>
              <w:rPr>
                <w:rFonts w:ascii="Arial;sans-serif" w:hAnsi="Arial;sans-serif"/>
                <w:b/>
                <w:color w:val="000000"/>
                <w:sz w:val="20"/>
              </w:rPr>
            </w:pPr>
            <w:r>
              <w:rPr>
                <w:rFonts w:ascii="Arial;sans-serif" w:hAnsi="Arial;sans-serif"/>
                <w:b/>
                <w:color w:val="000000"/>
                <w:sz w:val="20"/>
              </w:rPr>
              <w:t>Trading venue</w:t>
            </w:r>
          </w:p>
        </w:tc>
      </w:tr>
      <w:tr>
        <w:trPr/>
        <w:tc>
          <w:tcPr>
            <w:tcW w:w="1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 August 2026</w:t>
            </w:r>
          </w:p>
        </w:tc>
        <w:tc>
          <w:tcPr>
            <w:tcW w:w="2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   </w:t>
            </w:r>
            <w:r>
              <w:rPr>
                <w:rFonts w:ascii="Arial;sans-serif" w:hAnsi="Arial;sans-serif"/>
                <w:b w:val="false"/>
                <w:color w:val="000000"/>
                <w:sz w:val="20"/>
              </w:rPr>
              <w:t>30,000</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107.0500</w:t>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105.3500</w:t>
            </w:r>
          </w:p>
        </w:tc>
        <w:tc>
          <w:tcPr>
            <w:tcW w:w="1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106.0989</w:t>
            </w:r>
          </w:p>
        </w:tc>
        <w:tc>
          <w:tcPr>
            <w:tcW w:w="15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 August 2026</w:t>
            </w:r>
          </w:p>
        </w:tc>
        <w:tc>
          <w:tcPr>
            <w:tcW w:w="2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  </w:t>
            </w:r>
            <w:r>
              <w:rPr>
                <w:rFonts w:ascii="Arial;sans-serif" w:hAnsi="Arial;sans-serif"/>
                <w:b w:val="false"/>
                <w:color w:val="000000"/>
                <w:sz w:val="20"/>
              </w:rPr>
              <w:t xml:space="preserve">10,000 </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79.6500</w:t>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78.3000</w:t>
            </w:r>
          </w:p>
        </w:tc>
        <w:tc>
          <w:tcPr>
            <w:tcW w:w="1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79.0958</w:t>
            </w:r>
          </w:p>
        </w:tc>
        <w:tc>
          <w:tcPr>
            <w:tcW w:w="15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1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 August 2026</w:t>
            </w:r>
          </w:p>
        </w:tc>
        <w:tc>
          <w:tcPr>
            <w:tcW w:w="2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  </w:t>
            </w:r>
            <w:r>
              <w:rPr>
                <w:rFonts w:ascii="Arial;sans-serif" w:hAnsi="Arial;sans-serif"/>
                <w:b w:val="false"/>
                <w:color w:val="000000"/>
                <w:sz w:val="20"/>
              </w:rPr>
              <w:t>30,000</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106.5200</w:t>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104.6000</w:t>
            </w:r>
          </w:p>
        </w:tc>
        <w:tc>
          <w:tcPr>
            <w:tcW w:w="1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105.6831</w:t>
            </w:r>
          </w:p>
        </w:tc>
        <w:tc>
          <w:tcPr>
            <w:tcW w:w="15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11 August 2026</w:t>
            </w:r>
          </w:p>
        </w:tc>
        <w:tc>
          <w:tcPr>
            <w:tcW w:w="2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color w:val="000000"/>
              </w:rPr>
            </w:pPr>
            <w:r>
              <w:rPr>
                <w:color w:val="000000"/>
              </w:rPr>
              <w:t> </w:t>
            </w:r>
            <w:r>
              <w:rPr>
                <w:rFonts w:ascii="Arial;sans-serif" w:hAnsi="Arial;sans-serif"/>
                <w:b w:val="false"/>
                <w:color w:val="000000"/>
                <w:sz w:val="20"/>
              </w:rPr>
              <w:t xml:space="preserve">12,465 </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78.6000</w:t>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77.4500</w:t>
            </w:r>
          </w:p>
        </w:tc>
        <w:tc>
          <w:tcPr>
            <w:tcW w:w="1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78.0937</w:t>
            </w:r>
          </w:p>
        </w:tc>
        <w:tc>
          <w:tcPr>
            <w:tcW w:w="15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1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 August 2026</w:t>
            </w:r>
          </w:p>
        </w:tc>
        <w:tc>
          <w:tcPr>
            <w:tcW w:w="2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35,000</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107.6200</w:t>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105.9600</w:t>
            </w:r>
          </w:p>
        </w:tc>
        <w:tc>
          <w:tcPr>
            <w:tcW w:w="1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107.0084</w:t>
            </w:r>
          </w:p>
        </w:tc>
        <w:tc>
          <w:tcPr>
            <w:tcW w:w="15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12 August 2026</w:t>
            </w:r>
          </w:p>
        </w:tc>
        <w:tc>
          <w:tcPr>
            <w:tcW w:w="2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20,000</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79.3000</w:t>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78.0000</w:t>
            </w:r>
          </w:p>
        </w:tc>
        <w:tc>
          <w:tcPr>
            <w:tcW w:w="1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78.6553</w:t>
            </w:r>
          </w:p>
        </w:tc>
        <w:tc>
          <w:tcPr>
            <w:tcW w:w="15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1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 August 2026</w:t>
            </w:r>
          </w:p>
        </w:tc>
        <w:tc>
          <w:tcPr>
            <w:tcW w:w="2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107.4200</w:t>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106.7100</w:t>
            </w:r>
          </w:p>
        </w:tc>
        <w:tc>
          <w:tcPr>
            <w:tcW w:w="1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107.1741</w:t>
            </w:r>
          </w:p>
        </w:tc>
        <w:tc>
          <w:tcPr>
            <w:tcW w:w="15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13 August 2026</w:t>
            </w:r>
          </w:p>
        </w:tc>
        <w:tc>
          <w:tcPr>
            <w:tcW w:w="2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9,991</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79.4500</w:t>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78.5500</w:t>
            </w:r>
          </w:p>
        </w:tc>
        <w:tc>
          <w:tcPr>
            <w:tcW w:w="1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79.1559</w:t>
            </w:r>
          </w:p>
        </w:tc>
        <w:tc>
          <w:tcPr>
            <w:tcW w:w="15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r>
        <w:trPr/>
        <w:tc>
          <w:tcPr>
            <w:tcW w:w="103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 August 2026</w:t>
            </w:r>
          </w:p>
        </w:tc>
        <w:tc>
          <w:tcPr>
            <w:tcW w:w="251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30,000</w:t>
            </w:r>
          </w:p>
        </w:tc>
        <w:tc>
          <w:tcPr>
            <w:tcW w:w="1318"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108.1600</w:t>
            </w:r>
          </w:p>
        </w:tc>
        <w:tc>
          <w:tcPr>
            <w:tcW w:w="201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107.1200</w:t>
            </w:r>
          </w:p>
        </w:tc>
        <w:tc>
          <w:tcPr>
            <w:tcW w:w="178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USD 107.6003</w:t>
            </w:r>
          </w:p>
        </w:tc>
        <w:tc>
          <w:tcPr>
            <w:tcW w:w="1537"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US Trading Venues</w:t>
            </w:r>
          </w:p>
        </w:tc>
      </w:tr>
      <w:tr>
        <w:trPr/>
        <w:tc>
          <w:tcPr>
            <w:tcW w:w="103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14 August 2026</w:t>
            </w:r>
          </w:p>
        </w:tc>
        <w:tc>
          <w:tcPr>
            <w:tcW w:w="251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10,000</w:t>
            </w:r>
          </w:p>
        </w:tc>
        <w:tc>
          <w:tcPr>
            <w:tcW w:w="1318"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79.7000</w:t>
            </w:r>
          </w:p>
        </w:tc>
        <w:tc>
          <w:tcPr>
            <w:tcW w:w="2010"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78.7000</w:t>
            </w:r>
          </w:p>
        </w:tc>
        <w:tc>
          <w:tcPr>
            <w:tcW w:w="178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GBP 79.2297</w:t>
            </w:r>
          </w:p>
        </w:tc>
        <w:tc>
          <w:tcPr>
            <w:tcW w:w="1537"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283"/>
              <w:jc w:val="center"/>
              <w:rPr>
                <w:rFonts w:ascii="Arial;sans-serif" w:hAnsi="Arial;sans-serif"/>
                <w:b w:val="false"/>
                <w:color w:val="000000"/>
                <w:sz w:val="20"/>
              </w:rPr>
            </w:pPr>
            <w:r>
              <w:rPr>
                <w:rFonts w:ascii="Arial;sans-serif" w:hAnsi="Arial;sans-serif"/>
                <w:b w:val="false"/>
                <w:color w:val="000000"/>
                <w:sz w:val="20"/>
              </w:rPr>
              <w:t>London Stock Exchange</w:t>
            </w:r>
          </w:p>
        </w:tc>
      </w:tr>
    </w:tbl>
    <w:p>
      <w:pPr>
        <w:pStyle w:val="TextBody"/>
        <w:bidi w:val="0"/>
        <w:jc w:val="center"/>
        <w:rPr/>
      </w:pPr>
      <w:r>
        <w:rPr/>
      </w:r>
    </w:p>
    <w:p>
      <w:pPr>
        <w:pStyle w:val="TextBody"/>
        <w:bidi w:val="0"/>
        <w:spacing w:before="0" w:after="0"/>
        <w:jc w:val="left"/>
        <w:rPr/>
      </w:pPr>
      <w:r>
        <w:rPr/>
        <w:drawing>
          <wp:inline distT="0" distB="0" distL="0" distR="0">
            <wp:extent cx="1343025" cy="90487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343025" cy="904875"/>
                    </a:xfrm>
                    <a:prstGeom prst="rect">
                      <a:avLst/>
                    </a:prstGeom>
                  </pic:spPr>
                </pic:pic>
              </a:graphicData>
            </a:graphic>
          </wp:inline>
        </w:drawing>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050"/>
                <wp:effectExtent l="0" t="0" r="0" b="0"/>
                <wp:wrapNone/>
                <wp:docPr id="4"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2</w:t>
                      </w:r>
                    </w:p>
                  </w:txbxContent>
                </v:textbox>
                <w10:wrap type="none"/>
              </v:rect>
            </w:pict>
          </mc:Fallback>
        </mc:AlternateContent>
      </w:r>
    </w:p>
    <w:p>
      <w:pPr>
        <w:pStyle w:val="TextBody"/>
        <w:bidi w:val="0"/>
        <w:spacing w:before="0" w:after="0"/>
        <w:jc w:val="both"/>
        <w:rPr/>
      </w:pPr>
      <w:r>
        <w:rPr/>
      </w:r>
    </w:p>
    <w:p>
      <w:pPr>
        <w:pStyle w:val="TextBody"/>
        <w:bidi w:val="0"/>
        <w:spacing w:lineRule="auto" w:line="256" w:before="0" w:after="0"/>
        <w:jc w:val="both"/>
        <w:rPr/>
      </w:pPr>
      <w:r>
        <w:rPr>
          <w:rFonts w:ascii="Arial;sans-serif" w:hAnsi="Arial;sans-serif"/>
          <w:b w:val="false"/>
          <w:color w:val="000000"/>
          <w:sz w:val="22"/>
        </w:rPr>
        <w:t>The purchases form part of the Company's share buyback programme announced on 17 February 2026 (the "</w:t>
      </w:r>
      <w:r>
        <w:rPr>
          <w:rFonts w:ascii="Arial;sans-serif" w:hAnsi="Arial;sans-serif"/>
          <w:b/>
          <w:color w:val="000000"/>
          <w:sz w:val="22"/>
        </w:rPr>
        <w:t>Programme</w:t>
      </w:r>
      <w:r>
        <w:rPr>
          <w:rFonts w:ascii="Arial;sans-serif" w:hAnsi="Arial;sans-serif"/>
          <w:b w:val="false"/>
          <w:color w:val="000000"/>
          <w:sz w:val="22"/>
        </w:rPr>
        <w:t>"). In connection with the Programme, the Company expects to repurchase up to EUR 1 billion of ordinary shares (in aggregate).</w:t>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In accordance with Article 5(1)(b) of Regulation (EU) No 596/2014 as it applies in the UK (the Market Abuse Regulation), full details of the transactions, in aggregated and detailed form, are available through the link below:</w:t>
      </w:r>
    </w:p>
    <w:p>
      <w:pPr>
        <w:pStyle w:val="TextBody"/>
        <w:bidi w:val="0"/>
        <w:spacing w:before="0" w:after="0"/>
        <w:jc w:val="left"/>
        <w:rPr/>
      </w:pPr>
      <w:r>
        <w:rPr/>
      </w:r>
    </w:p>
    <w:p>
      <w:pPr>
        <w:pStyle w:val="TextBody"/>
        <w:bidi w:val="0"/>
        <w:spacing w:lineRule="auto" w:line="256" w:before="0" w:after="0"/>
        <w:jc w:val="both"/>
        <w:rPr>
          <w:rFonts w:ascii="Arial;sans-serif" w:hAnsi="Arial;sans-serif"/>
          <w:b w:val="false"/>
          <w:color w:val="000000"/>
          <w:sz w:val="22"/>
          <w:shd w:fill="FFFFFF" w:val="clear"/>
        </w:rPr>
      </w:pPr>
      <w:r>
        <w:rPr>
          <w:rFonts w:ascii="Arial;sans-serif" w:hAnsi="Arial;sans-serif"/>
          <w:b w:val="false"/>
          <w:color w:val="000000"/>
          <w:sz w:val="22"/>
          <w:shd w:fill="FFFFFF" w:val="clear"/>
        </w:rPr>
        <w:t>http://www.rns-pdf.londonstockexchange.com/rns/9952Q_1-2026-8-17.pdf</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4"/>
        </w:rPr>
      </w:pPr>
      <w:r>
        <w:rPr>
          <w:rFonts w:ascii="Arial;sans-serif" w:hAnsi="Arial;sans-serif"/>
          <w:b/>
          <w:color w:val="000000"/>
          <w:sz w:val="24"/>
        </w:rPr>
        <w:t>CONTACTS</w:t>
      </w:r>
    </w:p>
    <w:p>
      <w:pPr>
        <w:pStyle w:val="TextBody"/>
        <w:bidi w:val="0"/>
        <w:spacing w:before="0" w:after="0"/>
        <w:jc w:val="left"/>
        <w:rPr/>
      </w:pPr>
      <w:r>
        <w:rPr/>
      </w:r>
    </w:p>
    <w:tbl>
      <w:tblPr>
        <w:tblW w:w="8748" w:type="dxa"/>
        <w:jc w:val="left"/>
        <w:tblInd w:w="0" w:type="dxa"/>
        <w:tblLayout w:type="fixed"/>
        <w:tblCellMar>
          <w:top w:w="28" w:type="dxa"/>
          <w:left w:w="28" w:type="dxa"/>
          <w:bottom w:w="28" w:type="dxa"/>
          <w:right w:w="28" w:type="dxa"/>
        </w:tblCellMar>
      </w:tblPr>
      <w:tblGrid>
        <w:gridCol w:w="1104"/>
        <w:gridCol w:w="970"/>
        <w:gridCol w:w="972"/>
        <w:gridCol w:w="880"/>
        <w:gridCol w:w="880"/>
        <w:gridCol w:w="881"/>
        <w:gridCol w:w="896"/>
        <w:gridCol w:w="896"/>
        <w:gridCol w:w="1269"/>
      </w:tblGrid>
      <w:tr>
        <w:trPr/>
        <w:tc>
          <w:tcPr>
            <w:tcW w:w="1104"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304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Company Secretariat</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Svetlana Walker</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svetlana.walker@ccep.com</w:t>
            </w:r>
          </w:p>
        </w:tc>
        <w:tc>
          <w:tcPr>
            <w:tcW w:w="264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Investor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Sarah Willett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sarah.willett@ccep.com</w:t>
            </w:r>
          </w:p>
        </w:tc>
        <w:tc>
          <w:tcPr>
            <w:tcW w:w="3061"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Media Relations</w:t>
            </w:r>
          </w:p>
          <w:p>
            <w:pPr>
              <w:pStyle w:val="TableContents"/>
              <w:bidi w:val="0"/>
              <w:spacing w:lineRule="auto" w:line="268" w:before="0" w:after="0"/>
              <w:jc w:val="left"/>
              <w:rPr>
                <w:rFonts w:ascii="Arial;sans-serif" w:hAnsi="Arial;sans-serif"/>
                <w:b/>
                <w:color w:val="000000"/>
                <w:sz w:val="24"/>
              </w:rPr>
            </w:pPr>
            <w:r>
              <w:rPr>
                <w:rFonts w:ascii="Arial;sans-serif" w:hAnsi="Arial;sans-serif"/>
                <w:b/>
                <w:color w:val="000000"/>
                <w:sz w:val="24"/>
              </w:rPr>
              <w:t>Shanna Wendt</w:t>
            </w:r>
          </w:p>
          <w:p>
            <w:pPr>
              <w:pStyle w:val="TableContents"/>
              <w:bidi w:val="0"/>
              <w:spacing w:lineRule="auto" w:line="268" w:before="0" w:after="0"/>
              <w:jc w:val="left"/>
              <w:rPr>
                <w:rFonts w:ascii="Arial;sans-serif" w:hAnsi="Arial;sans-serif"/>
                <w:b w:val="false"/>
                <w:color w:val="000000"/>
                <w:sz w:val="24"/>
              </w:rPr>
            </w:pPr>
            <w:r>
              <w:rPr>
                <w:rFonts w:ascii="Arial;sans-serif" w:hAnsi="Arial;sans-serif"/>
                <w:b w:val="false"/>
                <w:color w:val="000000"/>
                <w:sz w:val="24"/>
              </w:rPr>
              <w:t>mediaenquiries@ccep.com</w:t>
            </w:r>
          </w:p>
        </w:tc>
      </w:tr>
    </w:tbl>
    <w:p>
      <w:pPr>
        <w:pStyle w:val="TextBody"/>
        <w:bidi w:val="0"/>
        <w:spacing w:before="0" w:after="0"/>
        <w:jc w:val="left"/>
        <w:rPr/>
      </w:pPr>
      <w:r>
        <w:rPr/>
      </w:r>
    </w:p>
    <w:p>
      <w:pPr>
        <w:pStyle w:val="TextBody"/>
        <w:bidi w:val="0"/>
        <w:spacing w:lineRule="auto" w:line="256" w:before="0" w:after="0"/>
        <w:jc w:val="both"/>
        <w:rPr>
          <w:rFonts w:ascii="Arial;sans-serif" w:hAnsi="Arial;sans-serif"/>
          <w:b/>
          <w:color w:val="000000"/>
          <w:sz w:val="24"/>
        </w:rPr>
      </w:pPr>
      <w:r>
        <w:rPr>
          <w:rFonts w:ascii="Arial;sans-serif" w:hAnsi="Arial;sans-serif"/>
          <w:b/>
          <w:color w:val="000000"/>
          <w:sz w:val="24"/>
        </w:rPr>
        <w:t>ABOUT CCEP</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Coca-Cola Europacific Partners is one of the world’s leading consumer goods companies. We make, move and sell some of the world’s most loved brands – serving nearly 600 million consumers and helping over 4 million customers across 31 countries grow.</w:t>
      </w:r>
    </w:p>
    <w:p>
      <w:pPr>
        <w:pStyle w:val="TextBody"/>
        <w:bidi w:val="0"/>
        <w:spacing w:before="0" w:after="0"/>
        <w:jc w:val="both"/>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 xml:space="preserve">We combine the strength and scale of a large, multi-national business with an expert, local knowledge of the customers we serve and communities we support.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2"/>
        </w:rPr>
      </w:pPr>
      <w:r>
        <w:rPr>
          <w:rFonts w:ascii="Arial;sans-serif" w:hAnsi="Arial;sans-serif"/>
          <w:b w:val="false"/>
          <w:color w:val="000000"/>
          <w:sz w:val="22"/>
        </w:rPr>
        <w:t>The Company is currently listed on Euronext Amsterdam, NASDAQ, London Stock Exchange and on the Spanish Stock Exchanges, and a constituent of both the NASDAQ 100 and FTSE 100 indices, trading under the symbol CCEP (ISIN No. GB00BDCPN049).</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22"/>
        </w:rPr>
      </w:pPr>
      <w:r>
        <w:rPr>
          <w:rFonts w:ascii="Arial;sans-serif" w:hAnsi="Arial;sans-serif"/>
          <w:b w:val="false"/>
          <w:color w:val="000000"/>
          <w:sz w:val="22"/>
        </w:rPr>
        <w:t>For more information about CCEP, please visit www.cocacolaep.com and follow CCEP on LinkedIn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31" w:before="0" w:after="0"/>
        <w:jc w:val="left"/>
        <w:rPr/>
      </w:pPr>
      <w:r>
        <w:rPr>
          <w:rFonts w:ascii="Arial;sans-serif" w:hAnsi="Arial;sans-serif"/>
          <w:b/>
          <w:color w:val="000000"/>
          <w:sz w:val="14"/>
        </w:rPr>
        <w:t>[1]</w:t>
      </w:r>
      <w:r>
        <w:rPr>
          <w:color w:val="000000"/>
        </w:rPr>
        <w:t xml:space="preserve"> </w:t>
      </w:r>
      <w:r>
        <w:rPr>
          <w:rFonts w:ascii="Arial;sans-serif" w:hAnsi="Arial;sans-serif"/>
          <w:b w:val="false"/>
          <w:color w:val="000000"/>
          <w:sz w:val="16"/>
        </w:rPr>
        <w:t xml:space="preserve">The “US Trading Venues” comprise Nasdaq and other applicable US trading venues. </w:t>
      </w:r>
    </w:p>
    <w:p>
      <w:pPr>
        <w:pStyle w:val="TextBody"/>
        <w:bidi w:val="0"/>
        <w:spacing w:lineRule="auto" w:line="331" w:before="0" w:after="0"/>
        <w:jc w:val="left"/>
        <w:rPr/>
      </w:pPr>
      <w:r>
        <w:rPr>
          <w:rFonts w:ascii="Arial;sans-serif" w:hAnsi="Arial;sans-serif"/>
          <w:b/>
          <w:color w:val="000000"/>
          <w:sz w:val="14"/>
        </w:rPr>
        <w:t>[2]</w:t>
      </w:r>
      <w:r>
        <w:rPr>
          <w:color w:val="000000"/>
        </w:rPr>
        <w:t xml:space="preserve"> </w:t>
      </w:r>
      <w:r>
        <w:rPr>
          <w:rFonts w:ascii="Arial;sans-serif" w:hAnsi="Arial;sans-serif"/>
          <w:b w:val="false"/>
          <w:color w:val="000000"/>
          <w:sz w:val="16"/>
        </w:rPr>
        <w:t xml:space="preserve">The “London Trading Venues” comprise the London Stock Exchange, CBOE Europe Limited (BXE), CBOE Europe Limited (CXE) and Aquis. Goldman Sachs acquired CREST Depositary Interests on the London Trading Venues, which will be cancelled together with the underlying shares they represent.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5"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3</w:t>
                      </w:r>
                    </w:p>
                  </w:txbxContent>
                </v:textbox>
                <w10:wrap type="none"/>
              </v:rect>
            </w:pict>
          </mc:Fallback>
        </mc:AlternateContent>
      </w:r>
    </w:p>
    <w:p>
      <w:pPr>
        <w:pStyle w:val="TextBody"/>
        <w:bidi w:val="0"/>
        <w:spacing w:lineRule="auto" w:line="417"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417" w:before="0" w:after="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7631" w:type="dxa"/>
        <w:jc w:val="left"/>
        <w:tblInd w:w="0" w:type="dxa"/>
        <w:tblLayout w:type="fixed"/>
        <w:tblCellMar>
          <w:top w:w="28" w:type="dxa"/>
          <w:left w:w="28" w:type="dxa"/>
          <w:bottom w:w="28" w:type="dxa"/>
          <w:right w:w="28" w:type="dxa"/>
        </w:tblCellMar>
      </w:tblPr>
      <w:tblGrid>
        <w:gridCol w:w="749"/>
        <w:gridCol w:w="657"/>
        <w:gridCol w:w="664"/>
        <w:gridCol w:w="664"/>
        <w:gridCol w:w="664"/>
        <w:gridCol w:w="664"/>
        <w:gridCol w:w="1039"/>
        <w:gridCol w:w="1039"/>
        <w:gridCol w:w="1491"/>
      </w:tblGrid>
      <w:tr>
        <w:trPr/>
        <w:tc>
          <w:tcPr>
            <w:tcW w:w="7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491"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COCA-COLA EUROPACIFIC PARTNERS PLC</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(Registrant)</w:t>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August 17, 2026</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w:t>
            </w:r>
          </w:p>
        </w:tc>
        <w:tc>
          <w:tcPr>
            <w:tcW w:w="356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0"/>
              </w:rPr>
            </w:pPr>
            <w:r>
              <w:rPr>
                <w:rFonts w:ascii="Arial;sans-serif" w:hAnsi="Arial;sans-serif"/>
                <w:b w:val="false"/>
                <w:color w:val="000000"/>
                <w:sz w:val="20"/>
              </w:rPr>
              <w:t>/s/ Svetlana Walker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3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Svetlana Walker</w:t>
            </w:r>
          </w:p>
        </w:tc>
      </w:tr>
      <w:tr>
        <w:trPr/>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35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General Counsel &amp; Company Secretary</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6"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641</Words>
  <Characters>3574</Characters>
  <CharactersWithSpaces>4109</CharactersWithSpaces>
  <Paragraphs>123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