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78"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361"/>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6-K</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Report of Foreign Private Issuer</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Rule 13a-16 or 15d-16</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August 3,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001-37791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9" w:after="362"/>
        <w:jc w:val="center"/>
        <w:rPr>
          <w:rFonts w:ascii="Times New Roman;serif" w:hAnsi="Times New Roman;serif"/>
          <w:b/>
          <w:color w:val="000000"/>
          <w:sz w:val="46"/>
        </w:rPr>
      </w:pPr>
      <w:r>
        <w:rPr>
          <w:rFonts w:ascii="Times New Roman;serif" w:hAnsi="Times New Roman;serif"/>
          <w:b/>
          <w:color w:val="000000"/>
          <w:sz w:val="46"/>
        </w:rPr>
        <w:t>COCA-COLA EUROPACIFIC PARTNERS PLC</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5" w:after="283"/>
        <w:jc w:val="center"/>
        <w:rPr>
          <w:rFonts w:ascii="Times New Roman;serif" w:hAnsi="Times New Roman;serif"/>
          <w:b/>
          <w:color w:val="000000"/>
          <w:sz w:val="20"/>
        </w:rPr>
      </w:pPr>
      <w:r>
        <w:rPr>
          <w:rFonts w:ascii="Times New Roman;serif" w:hAnsi="Times New Roman;serif"/>
          <w:b/>
          <w:color w:val="000000"/>
          <w:sz w:val="20"/>
        </w:rPr>
        <w:t>Pemberton House, Bakers Road</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Uxbridge, UB8 1EZ, United Kingdom</w:t>
      </w:r>
    </w:p>
    <w:p>
      <w:pPr>
        <w:pStyle w:val="TextBody"/>
        <w:bidi w:val="0"/>
        <w:spacing w:lineRule="auto" w:line="288" w:before="0" w:after="370"/>
        <w:jc w:val="center"/>
        <w:rPr>
          <w:rFonts w:ascii="Times New Roman;serif" w:hAnsi="Times New Roman;serif"/>
          <w:b/>
          <w:color w:val="000000"/>
          <w:sz w:val="16"/>
        </w:rPr>
      </w:pPr>
      <w:r>
        <w:rPr>
          <w:rFonts w:ascii="Times New Roman;serif" w:hAnsi="Times New Roman;serif"/>
          <w:b/>
          <w:color w:val="000000"/>
          <w:sz w:val="16"/>
        </w:rPr>
        <w:t>(Address of principal executive office)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90" w:after="283"/>
        <w:jc w:val="center"/>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of Form 20-F or Form 40-F.)</w:t>
      </w:r>
    </w:p>
    <w:p>
      <w:pPr>
        <w:pStyle w:val="TextBody"/>
        <w:bidi w:val="0"/>
        <w:spacing w:lineRule="auto" w:line="288" w:before="290" w:after="283"/>
        <w:jc w:val="center"/>
        <w:rPr/>
      </w:pPr>
      <w:r>
        <w:rPr>
          <w:rFonts w:ascii="Times New Roman;serif" w:hAnsi="Times New Roman;serif"/>
          <w:b w:val="false"/>
          <w:color w:val="000000"/>
          <w:sz w:val="20"/>
        </w:rPr>
        <w:t xml:space="preserve">(Check One) Form 20-F </w:t>
      </w:r>
      <w:r>
        <w:rPr>
          <w:color w:val="000000"/>
        </w:rPr>
        <w:t xml:space="preserve">☒ </w:t>
      </w:r>
      <w:r>
        <w:rPr>
          <w:rFonts w:ascii="Times New Roman;serif" w:hAnsi="Times New Roman;serif"/>
          <w:b w:val="false"/>
          <w:color w:val="000000"/>
          <w:sz w:val="20"/>
        </w:rPr>
        <w:t xml:space="preserve">Form 40-F </w:t>
      </w:r>
      <w:r>
        <w:rPr>
          <w:rFonts w:ascii="Times New Roman;serif" w:hAnsi="Times New Roman;serif"/>
          <w:b w:val="false"/>
          <w:color w:val="000000"/>
          <w:sz w:val="22"/>
        </w:rPr>
        <w:t xml:space="preserve">D </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417" w:before="0" w:after="0"/>
        <w:jc w:val="center"/>
        <w:rPr>
          <w:rFonts w:ascii="Arial;sans-serif" w:hAnsi="Arial;sans-serif"/>
          <w:b/>
          <w:color w:val="000000"/>
          <w:sz w:val="20"/>
        </w:rPr>
      </w:pPr>
      <w:r>
        <w:rPr>
          <w:rFonts w:ascii="Arial;sans-serif" w:hAnsi="Arial;sans-serif"/>
          <w:b/>
          <w:color w:val="000000"/>
          <w:sz w:val="20"/>
        </w:rPr>
        <w:t>List identifying information required to be furnished</w:t>
      </w:r>
    </w:p>
    <w:p>
      <w:pPr>
        <w:pStyle w:val="TextBody"/>
        <w:bidi w:val="0"/>
        <w:spacing w:lineRule="auto" w:line="417" w:before="0" w:after="0"/>
        <w:jc w:val="center"/>
        <w:rPr>
          <w:rFonts w:ascii="Arial;sans-serif" w:hAnsi="Arial;sans-serif"/>
          <w:b/>
          <w:color w:val="000000"/>
          <w:sz w:val="20"/>
        </w:rPr>
      </w:pPr>
      <w:r>
        <w:rPr>
          <w:rFonts w:ascii="Arial;sans-serif" w:hAnsi="Arial;sans-serif"/>
          <w:b/>
          <w:color w:val="000000"/>
          <w:sz w:val="20"/>
        </w:rPr>
        <w:t>by Coca-Cola Europacific Partners plc</w:t>
      </w:r>
    </w:p>
    <w:p>
      <w:pPr>
        <w:pStyle w:val="TextBody"/>
        <w:bidi w:val="0"/>
        <w:spacing w:lineRule="auto" w:line="417" w:before="0" w:after="0"/>
        <w:jc w:val="center"/>
        <w:rPr>
          <w:rFonts w:ascii="Arial;sans-serif" w:hAnsi="Arial;sans-serif"/>
          <w:b/>
          <w:color w:val="000000"/>
          <w:sz w:val="20"/>
        </w:rPr>
      </w:pPr>
      <w:r>
        <w:rPr>
          <w:rFonts w:ascii="Arial;sans-serif" w:hAnsi="Arial;sans-serif"/>
          <w:b/>
          <w:color w:val="000000"/>
          <w:sz w:val="20"/>
        </w:rPr>
        <w:t>pursuant to Rule 13a-16 or 15d-16 of The Securities Exchange Act</w:t>
      </w:r>
    </w:p>
    <w:p>
      <w:pPr>
        <w:pStyle w:val="TextBody"/>
        <w:bidi w:val="0"/>
        <w:spacing w:before="0" w:after="0"/>
        <w:jc w:val="center"/>
        <w:rPr/>
      </w:pPr>
      <w:r>
        <w:rPr/>
      </w:r>
    </w:p>
    <w:p>
      <w:pPr>
        <w:pStyle w:val="TextBody"/>
        <w:bidi w:val="0"/>
        <w:spacing w:lineRule="auto" w:line="417" w:before="0" w:after="0"/>
        <w:jc w:val="center"/>
        <w:rPr>
          <w:rFonts w:ascii="Arial;sans-serif" w:hAnsi="Arial;sans-serif"/>
          <w:b/>
          <w:color w:val="000000"/>
          <w:sz w:val="20"/>
        </w:rPr>
      </w:pPr>
      <w:r>
        <w:rPr>
          <w:rFonts w:ascii="Arial;sans-serif" w:hAnsi="Arial;sans-serif"/>
          <w:b/>
          <w:color w:val="000000"/>
          <w:sz w:val="20"/>
        </w:rPr>
        <w:t>July 1-31, 2026</w:t>
      </w:r>
    </w:p>
    <w:tbl>
      <w:tblPr>
        <w:tblW w:w="7529" w:type="dxa"/>
        <w:jc w:val="center"/>
        <w:tblInd w:w="0" w:type="dxa"/>
        <w:tblLayout w:type="fixed"/>
        <w:tblCellMar>
          <w:top w:w="28" w:type="dxa"/>
          <w:left w:w="28" w:type="dxa"/>
          <w:bottom w:w="28" w:type="dxa"/>
          <w:right w:w="28" w:type="dxa"/>
        </w:tblCellMar>
      </w:tblPr>
      <w:tblGrid>
        <w:gridCol w:w="1020"/>
        <w:gridCol w:w="896"/>
        <w:gridCol w:w="903"/>
        <w:gridCol w:w="1375"/>
        <w:gridCol w:w="1375"/>
        <w:gridCol w:w="1960"/>
      </w:tblGrid>
      <w:tr>
        <w:trPr/>
        <w:tc>
          <w:tcPr>
            <w:tcW w:w="1020"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Information</w:t>
            </w:r>
          </w:p>
        </w:tc>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Required by</w:t>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Public announcements</w:t>
            </w:r>
          </w:p>
        </w:tc>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FCA's Disclosure Guidance and Transparency Rules</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Announcement</w:t>
            </w:r>
          </w:p>
        </w:tc>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Date of Matter</w:t>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Director/PDMR Shareholding</w:t>
            </w:r>
          </w:p>
        </w:tc>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July 14, 2026</w:t>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Director/PDMR Shareholding</w:t>
            </w:r>
          </w:p>
        </w:tc>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July 22, 2026</w:t>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Voting Rights and Capital</w:t>
            </w:r>
          </w:p>
        </w:tc>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3, 2026</w:t>
            </w:r>
          </w:p>
        </w:tc>
      </w:tr>
    </w:tbl>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0"/>
        <w:jc w:val="left"/>
        <w:rPr/>
      </w:pPr>
      <w:r>
        <w:rPr/>
      </w:r>
    </w:p>
    <w:p>
      <w:pPr>
        <w:pStyle w:val="TextBody"/>
        <w:bidi w:val="0"/>
        <w:spacing w:before="0" w:after="0"/>
        <w:jc w:val="left"/>
        <w:rPr/>
      </w:pPr>
      <w:r>
        <w:rPr/>
        <w:drawing>
          <wp:inline distT="0" distB="0" distL="0" distR="0">
            <wp:extent cx="1343025" cy="90487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343025" cy="904875"/>
                    </a:xfrm>
                    <a:prstGeom prst="rect">
                      <a:avLst/>
                    </a:prstGeom>
                  </pic:spPr>
                </pic:pic>
              </a:graphicData>
            </a:graphic>
          </wp:inline>
        </w:drawing>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76" w:before="0" w:after="0"/>
        <w:jc w:val="left"/>
        <w:rPr>
          <w:rFonts w:ascii="Times New Roman;serif" w:hAnsi="Times New Roman;serif"/>
          <w:b/>
          <w:color w:val="000000"/>
          <w:sz w:val="24"/>
        </w:rPr>
      </w:pPr>
      <w:r>
        <w:rPr>
          <w:rFonts w:ascii="Times New Roman;serif" w:hAnsi="Times New Roman;serif"/>
          <w:b/>
          <w:color w:val="000000"/>
          <w:sz w:val="24"/>
        </w:rPr>
        <w:t>July 14, 2026</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336" w:before="0" w:after="0"/>
        <w:jc w:val="center"/>
        <w:rPr>
          <w:rFonts w:ascii="Arial;sans-serif" w:hAnsi="Arial;sans-serif"/>
          <w:b/>
          <w:color w:val="000000"/>
          <w:sz w:val="18"/>
        </w:rPr>
      </w:pPr>
      <w:r>
        <w:rPr>
          <w:rFonts w:ascii="Arial;sans-serif" w:hAnsi="Arial;sans-serif"/>
          <w:b/>
          <w:color w:val="000000"/>
          <w:sz w:val="18"/>
        </w:rPr>
        <w:t>COCA-COLA EUROPACIFIC PARTNERS PLC</w:t>
      </w:r>
    </w:p>
    <w:p>
      <w:pPr>
        <w:pStyle w:val="TextBody"/>
        <w:bidi w:val="0"/>
        <w:spacing w:lineRule="auto" w:line="336" w:before="0" w:after="0"/>
        <w:jc w:val="center"/>
        <w:rPr>
          <w:rFonts w:ascii="Arial;sans-serif" w:hAnsi="Arial;sans-serif"/>
          <w:b/>
          <w:color w:val="000000"/>
          <w:sz w:val="18"/>
        </w:rPr>
      </w:pPr>
      <w:r>
        <w:rPr>
          <w:rFonts w:ascii="Arial;sans-serif" w:hAnsi="Arial;sans-serif"/>
          <w:b/>
          <w:color w:val="000000"/>
          <w:sz w:val="18"/>
        </w:rPr>
        <w:t>(the “Company”)</w:t>
      </w:r>
    </w:p>
    <w:p>
      <w:pPr>
        <w:pStyle w:val="TextBody"/>
        <w:bidi w:val="0"/>
        <w:spacing w:before="0" w:after="0"/>
        <w:jc w:val="center"/>
        <w:rPr/>
      </w:pPr>
      <w:r>
        <w:rPr/>
      </w:r>
    </w:p>
    <w:p>
      <w:pPr>
        <w:pStyle w:val="TextBody"/>
        <w:bidi w:val="0"/>
        <w:spacing w:lineRule="auto" w:line="336" w:before="0" w:after="0"/>
        <w:jc w:val="left"/>
        <w:rPr>
          <w:rFonts w:ascii="Arial;sans-serif" w:hAnsi="Arial;sans-serif"/>
          <w:b/>
          <w:color w:val="000000"/>
          <w:sz w:val="18"/>
        </w:rPr>
      </w:pPr>
      <w:r>
        <w:rPr>
          <w:rFonts w:ascii="Arial;sans-serif" w:hAnsi="Arial;sans-serif"/>
          <w:b/>
          <w:color w:val="000000"/>
          <w:sz w:val="18"/>
        </w:rPr>
        <w:t>Notification of transactions of persons discharging managerial responsibilities (“PDMR”) or persons closely associated with them (“PCA”)</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120"/>
        <w:gridCol w:w="1119"/>
        <w:gridCol w:w="1017"/>
        <w:gridCol w:w="651"/>
        <w:gridCol w:w="651"/>
        <w:gridCol w:w="632"/>
        <w:gridCol w:w="865"/>
        <w:gridCol w:w="426"/>
        <w:gridCol w:w="418"/>
        <w:gridCol w:w="695"/>
        <w:gridCol w:w="418"/>
        <w:gridCol w:w="418"/>
        <w:gridCol w:w="418"/>
        <w:gridCol w:w="418"/>
        <w:gridCol w:w="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1</w:t>
            </w:r>
          </w:p>
        </w:tc>
        <w:tc>
          <w:tcPr>
            <w:tcW w:w="9863" w:type="dxa"/>
            <w:gridSpan w:val="15"/>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Details of PDMR / PCA</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a)</w:t>
            </w:r>
          </w:p>
        </w:tc>
        <w:tc>
          <w:tcPr>
            <w:tcW w:w="32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6607"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Juan de Rueda Gamboa</w:t>
            </w:r>
          </w:p>
        </w:tc>
      </w:tr>
      <w:tr>
        <w:trPr/>
        <w:tc>
          <w:tcPr>
            <w:tcW w:w="34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2</w:t>
            </w:r>
          </w:p>
        </w:tc>
        <w:tc>
          <w:tcPr>
            <w:tcW w:w="9863" w:type="dxa"/>
            <w:gridSpan w:val="15"/>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Reason for notification</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a)</w:t>
            </w:r>
          </w:p>
        </w:tc>
        <w:tc>
          <w:tcPr>
            <w:tcW w:w="325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Position / status</w:t>
            </w:r>
          </w:p>
        </w:tc>
        <w:tc>
          <w:tcPr>
            <w:tcW w:w="6607" w:type="dxa"/>
            <w:gridSpan w:val="12"/>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Chief Public Affairs, Communications and Sustainability Officer</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b)</w:t>
            </w:r>
          </w:p>
        </w:tc>
        <w:tc>
          <w:tcPr>
            <w:tcW w:w="32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Initial notification / amendment</w:t>
            </w:r>
          </w:p>
        </w:tc>
        <w:tc>
          <w:tcPr>
            <w:tcW w:w="6607"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Initial Notification</w:t>
            </w:r>
          </w:p>
        </w:tc>
      </w:tr>
      <w:tr>
        <w:trPr/>
        <w:tc>
          <w:tcPr>
            <w:tcW w:w="34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3</w:t>
            </w:r>
          </w:p>
        </w:tc>
        <w:tc>
          <w:tcPr>
            <w:tcW w:w="9863" w:type="dxa"/>
            <w:gridSpan w:val="15"/>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Details of the issuer, emission allowance market participant, auction platform, auctioneer or auction monitor</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a)</w:t>
            </w:r>
          </w:p>
        </w:tc>
        <w:tc>
          <w:tcPr>
            <w:tcW w:w="325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6607" w:type="dxa"/>
            <w:gridSpan w:val="12"/>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Coca-Cola Europacific Partners plc</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b)</w:t>
            </w:r>
          </w:p>
        </w:tc>
        <w:tc>
          <w:tcPr>
            <w:tcW w:w="32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LEI</w:t>
            </w:r>
          </w:p>
        </w:tc>
        <w:tc>
          <w:tcPr>
            <w:tcW w:w="6607"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549300LTH67W4GWMRF57</w:t>
            </w:r>
          </w:p>
        </w:tc>
      </w:tr>
      <w:tr>
        <w:trPr/>
        <w:tc>
          <w:tcPr>
            <w:tcW w:w="34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4</w:t>
            </w:r>
          </w:p>
        </w:tc>
        <w:tc>
          <w:tcPr>
            <w:tcW w:w="9863" w:type="dxa"/>
            <w:gridSpan w:val="15"/>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Details of the transaction(s): section to be repeated for (i) each type of instrument; (ii) each type of transaction; (iii) each date; and (iv) each place where transactions have been conducted</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a)</w:t>
            </w:r>
          </w:p>
        </w:tc>
        <w:tc>
          <w:tcPr>
            <w:tcW w:w="325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Description of the financial instrument, type of instrument, Identification code</w:t>
            </w:r>
          </w:p>
        </w:tc>
        <w:tc>
          <w:tcPr>
            <w:tcW w:w="6607" w:type="dxa"/>
            <w:gridSpan w:val="12"/>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0"/>
              <w:jc w:val="left"/>
              <w:rPr/>
            </w:pPr>
            <w:r>
              <w:rPr>
                <w:rFonts w:ascii="Arial;sans-serif" w:hAnsi="Arial;sans-serif"/>
                <w:b w:val="false"/>
                <w:color w:val="000000"/>
                <w:sz w:val="18"/>
              </w:rPr>
              <w:t>Ordinary shares of €0.01 each in the Company (“</w:t>
            </w:r>
            <w:r>
              <w:rPr>
                <w:rFonts w:ascii="Arial;sans-serif" w:hAnsi="Arial;sans-serif"/>
                <w:b/>
                <w:color w:val="000000"/>
                <w:sz w:val="18"/>
              </w:rPr>
              <w:t>Ordinary Shares</w:t>
            </w:r>
            <w:r>
              <w:rPr>
                <w:color w:val="000000"/>
              </w:rPr>
              <w:t>”</w:t>
            </w:r>
            <w:r>
              <w:rPr>
                <w:rFonts w:ascii="Arial;sans-serif" w:hAnsi="Arial;sans-serif"/>
                <w:b w:val="false"/>
                <w:color w:val="000000"/>
                <w:sz w:val="18"/>
              </w:rPr>
              <w:t xml:space="preserve">) </w:t>
            </w:r>
          </w:p>
          <w:p>
            <w:pPr>
              <w:pStyle w:val="TableContents"/>
              <w:bidi w:val="0"/>
              <w:spacing w:before="0" w:after="0"/>
              <w:jc w:val="left"/>
              <w:rPr/>
            </w:pPr>
            <w:r>
              <w:rPr/>
            </w:r>
          </w:p>
          <w:p>
            <w:pPr>
              <w:pStyle w:val="TableContents"/>
              <w:bidi w:val="0"/>
              <w:spacing w:lineRule="auto" w:line="256" w:before="0" w:after="0"/>
              <w:jc w:val="left"/>
              <w:rPr>
                <w:rFonts w:ascii="Arial;sans-serif" w:hAnsi="Arial;sans-serif"/>
                <w:b w:val="false"/>
                <w:color w:val="000000"/>
                <w:sz w:val="18"/>
              </w:rPr>
            </w:pPr>
            <w:r>
              <w:rPr>
                <w:rFonts w:ascii="Arial;sans-serif" w:hAnsi="Arial;sans-serif"/>
                <w:b w:val="false"/>
                <w:color w:val="000000"/>
                <w:sz w:val="18"/>
              </w:rPr>
              <w:t>GB00BDCPN049</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b)</w:t>
            </w:r>
          </w:p>
        </w:tc>
        <w:tc>
          <w:tcPr>
            <w:tcW w:w="32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Nature of the transaction</w:t>
            </w:r>
          </w:p>
        </w:tc>
        <w:tc>
          <w:tcPr>
            <w:tcW w:w="6607" w:type="dxa"/>
            <w:gridSpan w:val="12"/>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Acquisition of 4.81097 Ordinary Shares pursuant to the Employee Share Purchase Plan</w:t>
            </w:r>
          </w:p>
        </w:tc>
      </w:tr>
      <w:tr>
        <w:trPr/>
        <w:tc>
          <w:tcPr>
            <w:tcW w:w="342"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c)</w:t>
            </w:r>
          </w:p>
        </w:tc>
        <w:tc>
          <w:tcPr>
            <w:tcW w:w="3256" w:type="dxa"/>
            <w:gridSpan w:val="3"/>
            <w:vMerge w:val="restart"/>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Price(s) and volume(s)</w:t>
            </w:r>
          </w:p>
        </w:tc>
        <w:tc>
          <w:tcPr>
            <w:tcW w:w="193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3256"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93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Price(s)</w:t>
            </w:r>
          </w:p>
        </w:tc>
        <w:tc>
          <w:tcPr>
            <w:tcW w:w="15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Volume(s)</w:t>
            </w:r>
          </w:p>
        </w:tc>
        <w:tc>
          <w:tcPr>
            <w:tcW w:w="1433"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3256"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93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USD $106.56650</w:t>
            </w:r>
          </w:p>
        </w:tc>
        <w:tc>
          <w:tcPr>
            <w:tcW w:w="15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4.81097</w:t>
            </w:r>
          </w:p>
        </w:tc>
        <w:tc>
          <w:tcPr>
            <w:tcW w:w="1433"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3256"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934"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d)</w:t>
            </w:r>
          </w:p>
        </w:tc>
        <w:tc>
          <w:tcPr>
            <w:tcW w:w="32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Aggregated information</w:t>
            </w:r>
          </w:p>
          <w:p>
            <w:pPr>
              <w:pStyle w:val="TableContents"/>
              <w:bidi w:val="0"/>
              <w:spacing w:before="0" w:after="0"/>
              <w:jc w:val="left"/>
              <w:rPr/>
            </w:pPr>
            <w:r>
              <w:rPr/>
            </w:r>
          </w:p>
          <w:p>
            <w:pPr>
              <w:pStyle w:val="TableContents"/>
              <w:bidi w:val="0"/>
              <w:spacing w:lineRule="auto" w:line="268" w:before="0" w:after="0"/>
              <w:ind w:left="0" w:right="0" w:hanging="360"/>
              <w:jc w:val="left"/>
              <w:rPr/>
            </w:pPr>
            <w:r>
              <w:rPr>
                <w:color w:val="000000"/>
              </w:rPr>
              <w:t>–</w:t>
            </w:r>
            <w:r>
              <w:rPr>
                <w:rFonts w:ascii="Arial;sans-serif" w:hAnsi="Arial;sans-serif"/>
                <w:b w:val="false"/>
                <w:color w:val="000000"/>
                <w:sz w:val="18"/>
              </w:rPr>
              <w:t>Aggregated volume</w:t>
            </w:r>
          </w:p>
          <w:p>
            <w:pPr>
              <w:pStyle w:val="TableContents"/>
              <w:bidi w:val="0"/>
              <w:spacing w:lineRule="auto" w:line="268" w:before="0" w:after="0"/>
              <w:ind w:left="0" w:right="0" w:hanging="360"/>
              <w:jc w:val="left"/>
              <w:rPr/>
            </w:pPr>
            <w:r>
              <w:rPr>
                <w:color w:val="000000"/>
              </w:rPr>
              <w:t>–</w:t>
            </w:r>
            <w:r>
              <w:rPr>
                <w:rFonts w:ascii="Arial;sans-serif" w:hAnsi="Arial;sans-serif"/>
                <w:b w:val="false"/>
                <w:color w:val="000000"/>
                <w:sz w:val="18"/>
              </w:rPr>
              <w:t>Weighted average price</w:t>
            </w:r>
          </w:p>
          <w:p>
            <w:pPr>
              <w:pStyle w:val="TableContents"/>
              <w:bidi w:val="0"/>
              <w:spacing w:lineRule="auto" w:line="268" w:before="0" w:after="0"/>
              <w:ind w:left="0" w:right="0" w:hanging="360"/>
              <w:jc w:val="left"/>
              <w:rPr/>
            </w:pPr>
            <w:r>
              <w:rPr>
                <w:color w:val="000000"/>
              </w:rPr>
              <w:t>–</w:t>
            </w:r>
            <w:r>
              <w:rPr>
                <w:rFonts w:ascii="Arial;sans-serif" w:hAnsi="Arial;sans-serif"/>
                <w:b w:val="false"/>
                <w:color w:val="000000"/>
                <w:sz w:val="18"/>
              </w:rPr>
              <w:t>Price</w:t>
            </w:r>
          </w:p>
        </w:tc>
        <w:tc>
          <w:tcPr>
            <w:tcW w:w="6607" w:type="dxa"/>
            <w:gridSpan w:val="12"/>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68" w:before="0" w:after="283"/>
              <w:jc w:val="left"/>
              <w:rPr/>
            </w:pPr>
            <w:r>
              <w:rPr>
                <w:rFonts w:ascii="Arial;sans-serif" w:hAnsi="Arial;sans-serif"/>
                <w:b w:val="false"/>
                <w:sz w:val="18"/>
              </w:rPr>
              <w:br/>
              <w:br/>
            </w:r>
            <w:r>
              <w:rPr>
                <w:rFonts w:ascii="Arial;sans-serif" w:hAnsi="Arial;sans-serif"/>
                <w:b w:val="false"/>
                <w:color w:val="000000"/>
                <w:sz w:val="18"/>
              </w:rPr>
              <w:t>Aggregated Volume: 4.81097 Ordinary Shares</w:t>
              <w:br/>
            </w:r>
            <w:r>
              <w:rPr>
                <w:rFonts w:ascii="Arial;sans-serif" w:hAnsi="Arial;sans-serif"/>
                <w:b w:val="false"/>
                <w:sz w:val="18"/>
              </w:rPr>
              <w:br/>
            </w:r>
            <w:r>
              <w:rPr>
                <w:rFonts w:ascii="Arial;sans-serif" w:hAnsi="Arial;sans-serif"/>
                <w:b w:val="false"/>
                <w:color w:val="000000"/>
                <w:sz w:val="18"/>
              </w:rPr>
              <w:t>Weighted Average Price: USD $106.56650</w:t>
              <w:br/>
            </w:r>
            <w:r>
              <w:rPr>
                <w:rFonts w:ascii="Arial;sans-serif" w:hAnsi="Arial;sans-serif"/>
                <w:b w:val="false"/>
                <w:sz w:val="18"/>
              </w:rPr>
              <w:br/>
            </w:r>
            <w:r>
              <w:rPr>
                <w:rFonts w:ascii="Arial;sans-serif" w:hAnsi="Arial;sans-serif"/>
                <w:b w:val="false"/>
                <w:color w:val="000000"/>
                <w:sz w:val="18"/>
              </w:rPr>
              <w:t>Aggregated Price: USD $512.68823</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e)</w:t>
            </w:r>
          </w:p>
        </w:tc>
        <w:tc>
          <w:tcPr>
            <w:tcW w:w="32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Date of the transaction</w:t>
            </w:r>
          </w:p>
        </w:tc>
        <w:tc>
          <w:tcPr>
            <w:tcW w:w="6607"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2026-07-13</w:t>
            </w:r>
          </w:p>
        </w:tc>
      </w:tr>
      <w:tr>
        <w:trPr/>
        <w:tc>
          <w:tcPr>
            <w:tcW w:w="34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f)</w:t>
            </w:r>
          </w:p>
        </w:tc>
        <w:tc>
          <w:tcPr>
            <w:tcW w:w="325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Place of the transaction</w:t>
            </w:r>
          </w:p>
        </w:tc>
        <w:tc>
          <w:tcPr>
            <w:tcW w:w="6607"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The Nasdaq Stock Market LLC (XNAS)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drawing>
          <wp:inline distT="0" distB="0" distL="0" distR="0">
            <wp:extent cx="1343025" cy="90487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343025" cy="904875"/>
                    </a:xfrm>
                    <a:prstGeom prst="rect">
                      <a:avLst/>
                    </a:prstGeom>
                  </pic:spPr>
                </pic:pic>
              </a:graphicData>
            </a:graphic>
          </wp:inline>
        </w:drawing>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5"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290"/>
        <w:gridCol w:w="1290"/>
        <w:gridCol w:w="1199"/>
        <w:gridCol w:w="567"/>
        <w:gridCol w:w="567"/>
        <w:gridCol w:w="567"/>
        <w:gridCol w:w="735"/>
        <w:gridCol w:w="471"/>
        <w:gridCol w:w="393"/>
        <w:gridCol w:w="649"/>
        <w:gridCol w:w="393"/>
        <w:gridCol w:w="393"/>
        <w:gridCol w:w="393"/>
        <w:gridCol w:w="393"/>
        <w:gridCol w:w="5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1</w:t>
            </w:r>
          </w:p>
        </w:tc>
        <w:tc>
          <w:tcPr>
            <w:tcW w:w="9863" w:type="dxa"/>
            <w:gridSpan w:val="15"/>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Details of PDMR / PCA</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a)</w:t>
            </w:r>
          </w:p>
        </w:tc>
        <w:tc>
          <w:tcPr>
            <w:tcW w:w="37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6084"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Ana Callol</w:t>
            </w:r>
          </w:p>
        </w:tc>
      </w:tr>
      <w:tr>
        <w:trPr/>
        <w:tc>
          <w:tcPr>
            <w:tcW w:w="34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2</w:t>
            </w:r>
          </w:p>
        </w:tc>
        <w:tc>
          <w:tcPr>
            <w:tcW w:w="9863" w:type="dxa"/>
            <w:gridSpan w:val="15"/>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Reason for notification</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a)</w:t>
            </w:r>
          </w:p>
        </w:tc>
        <w:tc>
          <w:tcPr>
            <w:tcW w:w="37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Position / status</w:t>
            </w:r>
          </w:p>
        </w:tc>
        <w:tc>
          <w:tcPr>
            <w:tcW w:w="6084" w:type="dxa"/>
            <w:gridSpan w:val="12"/>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General Manager, Iberian Business Unit</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b)</w:t>
            </w:r>
          </w:p>
        </w:tc>
        <w:tc>
          <w:tcPr>
            <w:tcW w:w="37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Initial notification / amendment</w:t>
            </w:r>
          </w:p>
        </w:tc>
        <w:tc>
          <w:tcPr>
            <w:tcW w:w="6084"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Initial Notification</w:t>
            </w:r>
          </w:p>
        </w:tc>
      </w:tr>
      <w:tr>
        <w:trPr/>
        <w:tc>
          <w:tcPr>
            <w:tcW w:w="34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3</w:t>
            </w:r>
          </w:p>
        </w:tc>
        <w:tc>
          <w:tcPr>
            <w:tcW w:w="9863" w:type="dxa"/>
            <w:gridSpan w:val="15"/>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Details of the issuer, emission allowance market participant, auction platform, auctioneer or auction monitor</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a)</w:t>
            </w:r>
          </w:p>
        </w:tc>
        <w:tc>
          <w:tcPr>
            <w:tcW w:w="37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6084" w:type="dxa"/>
            <w:gridSpan w:val="12"/>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Coca-Cola Europacific Partners plc</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b)</w:t>
            </w:r>
          </w:p>
        </w:tc>
        <w:tc>
          <w:tcPr>
            <w:tcW w:w="37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LEI</w:t>
            </w:r>
          </w:p>
        </w:tc>
        <w:tc>
          <w:tcPr>
            <w:tcW w:w="6084"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549300LTH67W4GWMRF57</w:t>
            </w:r>
          </w:p>
        </w:tc>
      </w:tr>
      <w:tr>
        <w:trPr/>
        <w:tc>
          <w:tcPr>
            <w:tcW w:w="34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4</w:t>
            </w:r>
          </w:p>
        </w:tc>
        <w:tc>
          <w:tcPr>
            <w:tcW w:w="9863" w:type="dxa"/>
            <w:gridSpan w:val="15"/>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Details of the transaction(s): section to be repeated for (i) each type of instrument; (ii) each type of transaction; (iii) each date; and (iv) each place where transactions have been conducted</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a)</w:t>
            </w:r>
          </w:p>
        </w:tc>
        <w:tc>
          <w:tcPr>
            <w:tcW w:w="37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Description of the financial instrument, type of instrument, Identification code</w:t>
            </w:r>
          </w:p>
        </w:tc>
        <w:tc>
          <w:tcPr>
            <w:tcW w:w="6084" w:type="dxa"/>
            <w:gridSpan w:val="12"/>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0"/>
              <w:jc w:val="left"/>
              <w:rPr/>
            </w:pPr>
            <w:r>
              <w:rPr>
                <w:rFonts w:ascii="Arial;sans-serif" w:hAnsi="Arial;sans-serif"/>
                <w:b w:val="false"/>
                <w:color w:val="000000"/>
                <w:sz w:val="18"/>
              </w:rPr>
              <w:t>Ordinary shares of €0.01 each in the Company (“</w:t>
            </w:r>
            <w:r>
              <w:rPr>
                <w:rFonts w:ascii="Arial;sans-serif" w:hAnsi="Arial;sans-serif"/>
                <w:b/>
                <w:color w:val="000000"/>
                <w:sz w:val="18"/>
              </w:rPr>
              <w:t>Ordinary Shares</w:t>
            </w:r>
            <w:r>
              <w:rPr>
                <w:color w:val="000000"/>
              </w:rPr>
              <w:t>”</w:t>
            </w:r>
            <w:r>
              <w:rPr>
                <w:rFonts w:ascii="Arial;sans-serif" w:hAnsi="Arial;sans-serif"/>
                <w:b w:val="false"/>
                <w:color w:val="000000"/>
                <w:sz w:val="18"/>
              </w:rPr>
              <w:t xml:space="preserve">) </w:t>
            </w:r>
          </w:p>
          <w:p>
            <w:pPr>
              <w:pStyle w:val="TableContents"/>
              <w:bidi w:val="0"/>
              <w:spacing w:before="0" w:after="0"/>
              <w:jc w:val="left"/>
              <w:rPr/>
            </w:pPr>
            <w:r>
              <w:rPr/>
            </w:r>
          </w:p>
          <w:p>
            <w:pPr>
              <w:pStyle w:val="TableContents"/>
              <w:bidi w:val="0"/>
              <w:spacing w:lineRule="auto" w:line="256" w:before="0" w:after="0"/>
              <w:jc w:val="left"/>
              <w:rPr>
                <w:rFonts w:ascii="Arial;sans-serif" w:hAnsi="Arial;sans-serif"/>
                <w:b w:val="false"/>
                <w:color w:val="000000"/>
                <w:sz w:val="18"/>
              </w:rPr>
            </w:pPr>
            <w:r>
              <w:rPr>
                <w:rFonts w:ascii="Arial;sans-serif" w:hAnsi="Arial;sans-serif"/>
                <w:b w:val="false"/>
                <w:color w:val="000000"/>
                <w:sz w:val="18"/>
              </w:rPr>
              <w:t>GB00BDCPN049</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b)</w:t>
            </w:r>
          </w:p>
        </w:tc>
        <w:tc>
          <w:tcPr>
            <w:tcW w:w="37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Nature of the transaction</w:t>
            </w:r>
          </w:p>
        </w:tc>
        <w:tc>
          <w:tcPr>
            <w:tcW w:w="6084" w:type="dxa"/>
            <w:gridSpan w:val="12"/>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Acquisition of 4.81097 Ordinary Shares pursuant to the Employee Share Purchase Plan</w:t>
            </w:r>
          </w:p>
        </w:tc>
      </w:tr>
      <w:tr>
        <w:trPr/>
        <w:tc>
          <w:tcPr>
            <w:tcW w:w="342"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c)</w:t>
            </w:r>
          </w:p>
        </w:tc>
        <w:tc>
          <w:tcPr>
            <w:tcW w:w="3779" w:type="dxa"/>
            <w:gridSpan w:val="3"/>
            <w:vMerge w:val="restart"/>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Price(s) and volume(s)</w:t>
            </w:r>
          </w:p>
        </w:tc>
        <w:tc>
          <w:tcPr>
            <w:tcW w:w="170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3779"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70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Price(s)</w:t>
            </w:r>
          </w:p>
        </w:tc>
        <w:tc>
          <w:tcPr>
            <w:tcW w:w="14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Volume(s)</w:t>
            </w:r>
          </w:p>
        </w:tc>
        <w:tc>
          <w:tcPr>
            <w:tcW w:w="1349"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3779"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70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USD $106.56650</w:t>
            </w:r>
          </w:p>
        </w:tc>
        <w:tc>
          <w:tcPr>
            <w:tcW w:w="14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4.81097</w:t>
            </w:r>
          </w:p>
        </w:tc>
        <w:tc>
          <w:tcPr>
            <w:tcW w:w="1349"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3779"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701"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d)</w:t>
            </w:r>
          </w:p>
        </w:tc>
        <w:tc>
          <w:tcPr>
            <w:tcW w:w="37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Aggregated information</w:t>
            </w:r>
          </w:p>
          <w:p>
            <w:pPr>
              <w:pStyle w:val="TableContents"/>
              <w:bidi w:val="0"/>
              <w:spacing w:before="0" w:after="0"/>
              <w:jc w:val="left"/>
              <w:rPr/>
            </w:pPr>
            <w:r>
              <w:rPr/>
            </w:r>
          </w:p>
          <w:p>
            <w:pPr>
              <w:pStyle w:val="TableContents"/>
              <w:bidi w:val="0"/>
              <w:spacing w:lineRule="auto" w:line="268" w:before="0" w:after="0"/>
              <w:ind w:left="0" w:right="0" w:hanging="360"/>
              <w:jc w:val="left"/>
              <w:rPr/>
            </w:pPr>
            <w:r>
              <w:rPr>
                <w:color w:val="000000"/>
              </w:rPr>
              <w:t>–</w:t>
            </w:r>
            <w:r>
              <w:rPr>
                <w:rFonts w:ascii="Arial;sans-serif" w:hAnsi="Arial;sans-serif"/>
                <w:b w:val="false"/>
                <w:color w:val="000000"/>
                <w:sz w:val="18"/>
              </w:rPr>
              <w:t>Aggregated volume</w:t>
            </w:r>
          </w:p>
          <w:p>
            <w:pPr>
              <w:pStyle w:val="TableContents"/>
              <w:bidi w:val="0"/>
              <w:spacing w:lineRule="auto" w:line="268" w:before="0" w:after="0"/>
              <w:ind w:left="0" w:right="0" w:hanging="360"/>
              <w:jc w:val="left"/>
              <w:rPr/>
            </w:pPr>
            <w:r>
              <w:rPr>
                <w:color w:val="000000"/>
              </w:rPr>
              <w:t>–</w:t>
            </w:r>
            <w:r>
              <w:rPr>
                <w:rFonts w:ascii="Arial;sans-serif" w:hAnsi="Arial;sans-serif"/>
                <w:b w:val="false"/>
                <w:color w:val="000000"/>
                <w:sz w:val="18"/>
              </w:rPr>
              <w:t>Weighted average price</w:t>
            </w:r>
          </w:p>
          <w:p>
            <w:pPr>
              <w:pStyle w:val="TableContents"/>
              <w:bidi w:val="0"/>
              <w:spacing w:lineRule="auto" w:line="268" w:before="0" w:after="0"/>
              <w:ind w:left="0" w:right="0" w:hanging="360"/>
              <w:jc w:val="left"/>
              <w:rPr/>
            </w:pPr>
            <w:r>
              <w:rPr>
                <w:color w:val="000000"/>
              </w:rPr>
              <w:t>–</w:t>
            </w:r>
            <w:r>
              <w:rPr>
                <w:rFonts w:ascii="Arial;sans-serif" w:hAnsi="Arial;sans-serif"/>
                <w:b w:val="false"/>
                <w:color w:val="000000"/>
                <w:sz w:val="18"/>
              </w:rPr>
              <w:t>Price</w:t>
            </w:r>
          </w:p>
        </w:tc>
        <w:tc>
          <w:tcPr>
            <w:tcW w:w="6084" w:type="dxa"/>
            <w:gridSpan w:val="12"/>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68" w:before="0" w:after="283"/>
              <w:jc w:val="left"/>
              <w:rPr/>
            </w:pPr>
            <w:r>
              <w:rPr>
                <w:rFonts w:ascii="Arial;sans-serif" w:hAnsi="Arial;sans-serif"/>
                <w:b w:val="false"/>
                <w:sz w:val="18"/>
              </w:rPr>
              <w:br/>
              <w:br/>
              <w:br/>
            </w:r>
            <w:r>
              <w:rPr>
                <w:rFonts w:ascii="Arial;sans-serif" w:hAnsi="Arial;sans-serif"/>
                <w:b w:val="false"/>
                <w:color w:val="000000"/>
                <w:sz w:val="18"/>
              </w:rPr>
              <w:t>Aggregated Volume: 4.81097 Ordinary Shares</w:t>
              <w:br/>
            </w:r>
            <w:r>
              <w:rPr>
                <w:rFonts w:ascii="Arial;sans-serif" w:hAnsi="Arial;sans-serif"/>
                <w:b w:val="false"/>
                <w:sz w:val="18"/>
              </w:rPr>
              <w:br/>
            </w:r>
            <w:r>
              <w:rPr>
                <w:rFonts w:ascii="Arial;sans-serif" w:hAnsi="Arial;sans-serif"/>
                <w:b w:val="false"/>
                <w:color w:val="000000"/>
                <w:sz w:val="18"/>
              </w:rPr>
              <w:t>Weighted Average Price: USD $106.56650</w:t>
              <w:br/>
            </w:r>
            <w:r>
              <w:rPr>
                <w:rFonts w:ascii="Arial;sans-serif" w:hAnsi="Arial;sans-serif"/>
                <w:b w:val="false"/>
                <w:sz w:val="18"/>
              </w:rPr>
              <w:br/>
            </w:r>
            <w:r>
              <w:rPr>
                <w:rFonts w:ascii="Arial;sans-serif" w:hAnsi="Arial;sans-serif"/>
                <w:b w:val="false"/>
                <w:color w:val="000000"/>
                <w:sz w:val="18"/>
              </w:rPr>
              <w:t>Aggregated Price: USD $512.68823</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e)</w:t>
            </w:r>
          </w:p>
        </w:tc>
        <w:tc>
          <w:tcPr>
            <w:tcW w:w="37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Date of the transaction</w:t>
            </w:r>
          </w:p>
        </w:tc>
        <w:tc>
          <w:tcPr>
            <w:tcW w:w="6084"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2026-07-13</w:t>
            </w:r>
          </w:p>
        </w:tc>
      </w:tr>
      <w:tr>
        <w:trPr/>
        <w:tc>
          <w:tcPr>
            <w:tcW w:w="34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f)</w:t>
            </w:r>
          </w:p>
        </w:tc>
        <w:tc>
          <w:tcPr>
            <w:tcW w:w="377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Place of the transaction</w:t>
            </w:r>
          </w:p>
        </w:tc>
        <w:tc>
          <w:tcPr>
            <w:tcW w:w="6084"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The Nasdaq Stock Market LLC (XNAS)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drawing>
          <wp:inline distT="0" distB="0" distL="0" distR="0">
            <wp:extent cx="1343025" cy="90487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343025" cy="904875"/>
                    </a:xfrm>
                    <a:prstGeom prst="rect">
                      <a:avLst/>
                    </a:prstGeom>
                  </pic:spPr>
                </pic:pic>
              </a:graphicData>
            </a:graphic>
          </wp:inline>
        </w:drawing>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7"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121"/>
        <w:gridCol w:w="1121"/>
        <w:gridCol w:w="1019"/>
        <w:gridCol w:w="650"/>
        <w:gridCol w:w="650"/>
        <w:gridCol w:w="634"/>
        <w:gridCol w:w="863"/>
        <w:gridCol w:w="427"/>
        <w:gridCol w:w="418"/>
        <w:gridCol w:w="694"/>
        <w:gridCol w:w="418"/>
        <w:gridCol w:w="418"/>
        <w:gridCol w:w="418"/>
        <w:gridCol w:w="418"/>
        <w:gridCol w:w="5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1</w:t>
            </w:r>
          </w:p>
        </w:tc>
        <w:tc>
          <w:tcPr>
            <w:tcW w:w="9863" w:type="dxa"/>
            <w:gridSpan w:val="15"/>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Details of PDMR / PCA</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a)</w:t>
            </w:r>
          </w:p>
        </w:tc>
        <w:tc>
          <w:tcPr>
            <w:tcW w:w="3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6602"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José Antonio Echeverría</w:t>
            </w:r>
          </w:p>
        </w:tc>
      </w:tr>
      <w:tr>
        <w:trPr/>
        <w:tc>
          <w:tcPr>
            <w:tcW w:w="34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2</w:t>
            </w:r>
          </w:p>
        </w:tc>
        <w:tc>
          <w:tcPr>
            <w:tcW w:w="9863" w:type="dxa"/>
            <w:gridSpan w:val="15"/>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Reason for notification</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a)</w:t>
            </w:r>
          </w:p>
        </w:tc>
        <w:tc>
          <w:tcPr>
            <w:tcW w:w="32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Position / status</w:t>
            </w:r>
          </w:p>
        </w:tc>
        <w:tc>
          <w:tcPr>
            <w:tcW w:w="6602" w:type="dxa"/>
            <w:gridSpan w:val="12"/>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General Manager, France and Northern Europe Business Unit</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b)</w:t>
            </w:r>
          </w:p>
        </w:tc>
        <w:tc>
          <w:tcPr>
            <w:tcW w:w="3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Initial notification / amendment</w:t>
            </w:r>
          </w:p>
        </w:tc>
        <w:tc>
          <w:tcPr>
            <w:tcW w:w="6602"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Initial Notification</w:t>
            </w:r>
          </w:p>
        </w:tc>
      </w:tr>
      <w:tr>
        <w:trPr/>
        <w:tc>
          <w:tcPr>
            <w:tcW w:w="34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3</w:t>
            </w:r>
          </w:p>
        </w:tc>
        <w:tc>
          <w:tcPr>
            <w:tcW w:w="9863" w:type="dxa"/>
            <w:gridSpan w:val="15"/>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Details of the issuer, emission allowance market participant, auction platform, auctioneer or auction monitor</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a)</w:t>
            </w:r>
          </w:p>
        </w:tc>
        <w:tc>
          <w:tcPr>
            <w:tcW w:w="32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6602" w:type="dxa"/>
            <w:gridSpan w:val="12"/>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Coca-Cola Europacific Partners plc</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b)</w:t>
            </w:r>
          </w:p>
        </w:tc>
        <w:tc>
          <w:tcPr>
            <w:tcW w:w="3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LEI</w:t>
            </w:r>
          </w:p>
        </w:tc>
        <w:tc>
          <w:tcPr>
            <w:tcW w:w="6602"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549300LTH67W4GWMRF57</w:t>
            </w:r>
          </w:p>
        </w:tc>
      </w:tr>
      <w:tr>
        <w:trPr/>
        <w:tc>
          <w:tcPr>
            <w:tcW w:w="34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4</w:t>
            </w:r>
          </w:p>
        </w:tc>
        <w:tc>
          <w:tcPr>
            <w:tcW w:w="9863" w:type="dxa"/>
            <w:gridSpan w:val="15"/>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Details of the transaction(s): section to be repeated for (i) each type of instrument; (ii) each type of transaction; (iii) each date; and (iv) each place where transactions have been conducted</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a)</w:t>
            </w:r>
          </w:p>
        </w:tc>
        <w:tc>
          <w:tcPr>
            <w:tcW w:w="32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Description of the financial instrument, type of instrument, Identification code</w:t>
            </w:r>
          </w:p>
        </w:tc>
        <w:tc>
          <w:tcPr>
            <w:tcW w:w="6602" w:type="dxa"/>
            <w:gridSpan w:val="12"/>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0"/>
              <w:jc w:val="left"/>
              <w:rPr/>
            </w:pPr>
            <w:r>
              <w:rPr>
                <w:rFonts w:ascii="Arial;sans-serif" w:hAnsi="Arial;sans-serif"/>
                <w:b w:val="false"/>
                <w:color w:val="000000"/>
                <w:sz w:val="18"/>
              </w:rPr>
              <w:t>Ordinary shares of €0.01 each in the Company (“</w:t>
            </w:r>
            <w:r>
              <w:rPr>
                <w:rFonts w:ascii="Arial;sans-serif" w:hAnsi="Arial;sans-serif"/>
                <w:b/>
                <w:color w:val="000000"/>
                <w:sz w:val="18"/>
              </w:rPr>
              <w:t>Ordinary Shares</w:t>
            </w:r>
            <w:r>
              <w:rPr>
                <w:color w:val="000000"/>
              </w:rPr>
              <w:t>”</w:t>
            </w:r>
            <w:r>
              <w:rPr>
                <w:rFonts w:ascii="Arial;sans-serif" w:hAnsi="Arial;sans-serif"/>
                <w:b w:val="false"/>
                <w:color w:val="000000"/>
                <w:sz w:val="18"/>
              </w:rPr>
              <w:t xml:space="preserve">) </w:t>
            </w:r>
          </w:p>
          <w:p>
            <w:pPr>
              <w:pStyle w:val="TableContents"/>
              <w:bidi w:val="0"/>
              <w:spacing w:before="0" w:after="0"/>
              <w:jc w:val="left"/>
              <w:rPr/>
            </w:pPr>
            <w:r>
              <w:rPr/>
            </w:r>
          </w:p>
          <w:p>
            <w:pPr>
              <w:pStyle w:val="TableContents"/>
              <w:bidi w:val="0"/>
              <w:spacing w:lineRule="auto" w:line="256" w:before="0" w:after="0"/>
              <w:jc w:val="left"/>
              <w:rPr>
                <w:rFonts w:ascii="Arial;sans-serif" w:hAnsi="Arial;sans-serif"/>
                <w:b w:val="false"/>
                <w:color w:val="000000"/>
                <w:sz w:val="18"/>
              </w:rPr>
            </w:pPr>
            <w:r>
              <w:rPr>
                <w:rFonts w:ascii="Arial;sans-serif" w:hAnsi="Arial;sans-serif"/>
                <w:b w:val="false"/>
                <w:color w:val="000000"/>
                <w:sz w:val="18"/>
              </w:rPr>
              <w:t>GB00BDCPN049</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b)</w:t>
            </w:r>
          </w:p>
        </w:tc>
        <w:tc>
          <w:tcPr>
            <w:tcW w:w="3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Nature of the transaction</w:t>
            </w:r>
          </w:p>
        </w:tc>
        <w:tc>
          <w:tcPr>
            <w:tcW w:w="6602" w:type="dxa"/>
            <w:gridSpan w:val="12"/>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Acquisition of 4.81097 Ordinary Shares pursuant to the Employee Share Purchase Plan</w:t>
            </w:r>
          </w:p>
        </w:tc>
      </w:tr>
      <w:tr>
        <w:trPr/>
        <w:tc>
          <w:tcPr>
            <w:tcW w:w="342"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c)</w:t>
            </w:r>
          </w:p>
        </w:tc>
        <w:tc>
          <w:tcPr>
            <w:tcW w:w="3261" w:type="dxa"/>
            <w:gridSpan w:val="3"/>
            <w:vMerge w:val="restart"/>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Price(s) and volume(s)</w:t>
            </w:r>
          </w:p>
        </w:tc>
        <w:tc>
          <w:tcPr>
            <w:tcW w:w="193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3261"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93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Price(s)</w:t>
            </w:r>
          </w:p>
        </w:tc>
        <w:tc>
          <w:tcPr>
            <w:tcW w:w="15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Volume(s)</w:t>
            </w:r>
          </w:p>
        </w:tc>
        <w:tc>
          <w:tcPr>
            <w:tcW w:w="1430"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3261"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93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USD $106.56650</w:t>
            </w:r>
          </w:p>
        </w:tc>
        <w:tc>
          <w:tcPr>
            <w:tcW w:w="15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4.81097</w:t>
            </w:r>
          </w:p>
        </w:tc>
        <w:tc>
          <w:tcPr>
            <w:tcW w:w="1430"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3261"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934"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d)</w:t>
            </w:r>
          </w:p>
        </w:tc>
        <w:tc>
          <w:tcPr>
            <w:tcW w:w="3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Aggregated information</w:t>
            </w:r>
          </w:p>
          <w:p>
            <w:pPr>
              <w:pStyle w:val="TableContents"/>
              <w:bidi w:val="0"/>
              <w:spacing w:before="0" w:after="0"/>
              <w:jc w:val="left"/>
              <w:rPr/>
            </w:pPr>
            <w:r>
              <w:rPr/>
            </w:r>
          </w:p>
          <w:p>
            <w:pPr>
              <w:pStyle w:val="TableContents"/>
              <w:bidi w:val="0"/>
              <w:spacing w:lineRule="auto" w:line="268" w:before="0" w:after="0"/>
              <w:ind w:left="0" w:right="0" w:hanging="360"/>
              <w:jc w:val="left"/>
              <w:rPr/>
            </w:pPr>
            <w:r>
              <w:rPr>
                <w:color w:val="000000"/>
              </w:rPr>
              <w:t>–</w:t>
            </w:r>
            <w:r>
              <w:rPr>
                <w:rFonts w:ascii="Arial;sans-serif" w:hAnsi="Arial;sans-serif"/>
                <w:b w:val="false"/>
                <w:color w:val="000000"/>
                <w:sz w:val="18"/>
              </w:rPr>
              <w:t>Aggregated volume</w:t>
            </w:r>
          </w:p>
          <w:p>
            <w:pPr>
              <w:pStyle w:val="TableContents"/>
              <w:bidi w:val="0"/>
              <w:spacing w:lineRule="auto" w:line="268" w:before="0" w:after="0"/>
              <w:ind w:left="0" w:right="0" w:hanging="360"/>
              <w:jc w:val="left"/>
              <w:rPr/>
            </w:pPr>
            <w:r>
              <w:rPr>
                <w:color w:val="000000"/>
              </w:rPr>
              <w:t>–</w:t>
            </w:r>
            <w:r>
              <w:rPr>
                <w:rFonts w:ascii="Arial;sans-serif" w:hAnsi="Arial;sans-serif"/>
                <w:b w:val="false"/>
                <w:color w:val="000000"/>
                <w:sz w:val="18"/>
              </w:rPr>
              <w:t>Weighted average price</w:t>
            </w:r>
          </w:p>
          <w:p>
            <w:pPr>
              <w:pStyle w:val="TableContents"/>
              <w:bidi w:val="0"/>
              <w:spacing w:lineRule="auto" w:line="268" w:before="0" w:after="0"/>
              <w:ind w:left="0" w:right="0" w:hanging="360"/>
              <w:jc w:val="left"/>
              <w:rPr/>
            </w:pPr>
            <w:r>
              <w:rPr>
                <w:color w:val="000000"/>
              </w:rPr>
              <w:t>–</w:t>
            </w:r>
            <w:r>
              <w:rPr>
                <w:rFonts w:ascii="Arial;sans-serif" w:hAnsi="Arial;sans-serif"/>
                <w:b w:val="false"/>
                <w:color w:val="000000"/>
                <w:sz w:val="18"/>
              </w:rPr>
              <w:t>Price</w:t>
            </w:r>
          </w:p>
        </w:tc>
        <w:tc>
          <w:tcPr>
            <w:tcW w:w="6602" w:type="dxa"/>
            <w:gridSpan w:val="12"/>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68" w:before="0" w:after="283"/>
              <w:jc w:val="left"/>
              <w:rPr/>
            </w:pPr>
            <w:r>
              <w:rPr>
                <w:rFonts w:ascii="Arial;sans-serif" w:hAnsi="Arial;sans-serif"/>
                <w:b w:val="false"/>
                <w:sz w:val="18"/>
              </w:rPr>
              <w:br/>
              <w:br/>
              <w:br/>
            </w:r>
            <w:r>
              <w:rPr>
                <w:rFonts w:ascii="Arial;sans-serif" w:hAnsi="Arial;sans-serif"/>
                <w:b w:val="false"/>
                <w:color w:val="000000"/>
                <w:sz w:val="18"/>
              </w:rPr>
              <w:t>Aggregated Volume: 4.81097 Ordinary Shares</w:t>
              <w:br/>
            </w:r>
            <w:r>
              <w:rPr>
                <w:rFonts w:ascii="Arial;sans-serif" w:hAnsi="Arial;sans-serif"/>
                <w:b w:val="false"/>
                <w:sz w:val="18"/>
              </w:rPr>
              <w:br/>
            </w:r>
            <w:r>
              <w:rPr>
                <w:rFonts w:ascii="Arial;sans-serif" w:hAnsi="Arial;sans-serif"/>
                <w:b w:val="false"/>
                <w:color w:val="000000"/>
                <w:sz w:val="18"/>
              </w:rPr>
              <w:t>Weighted Average Price: USD $106.56650</w:t>
              <w:br/>
            </w:r>
            <w:r>
              <w:rPr>
                <w:rFonts w:ascii="Arial;sans-serif" w:hAnsi="Arial;sans-serif"/>
                <w:b w:val="false"/>
                <w:sz w:val="18"/>
              </w:rPr>
              <w:br/>
            </w:r>
            <w:r>
              <w:rPr>
                <w:rFonts w:ascii="Arial;sans-serif" w:hAnsi="Arial;sans-serif"/>
                <w:b w:val="false"/>
                <w:color w:val="000000"/>
                <w:sz w:val="18"/>
              </w:rPr>
              <w:t>Aggregated Price: USD $512.68823</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e)</w:t>
            </w:r>
          </w:p>
        </w:tc>
        <w:tc>
          <w:tcPr>
            <w:tcW w:w="3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Date of the transaction</w:t>
            </w:r>
          </w:p>
        </w:tc>
        <w:tc>
          <w:tcPr>
            <w:tcW w:w="6602"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2026-07-13</w:t>
            </w:r>
          </w:p>
        </w:tc>
      </w:tr>
      <w:tr>
        <w:trPr/>
        <w:tc>
          <w:tcPr>
            <w:tcW w:w="34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f)</w:t>
            </w:r>
          </w:p>
        </w:tc>
        <w:tc>
          <w:tcPr>
            <w:tcW w:w="326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Place of the transaction</w:t>
            </w:r>
          </w:p>
        </w:tc>
        <w:tc>
          <w:tcPr>
            <w:tcW w:w="6602"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The Nasdaq Stock Market LLC (XNAS)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drawing>
          <wp:inline distT="0" distB="0" distL="0" distR="0">
            <wp:extent cx="1343025" cy="904875"/>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1343025" cy="904875"/>
                    </a:xfrm>
                    <a:prstGeom prst="rect">
                      <a:avLst/>
                    </a:prstGeom>
                  </pic:spPr>
                </pic:pic>
              </a:graphicData>
            </a:graphic>
          </wp:inline>
        </w:drawing>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9"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76" w:before="0" w:after="0"/>
        <w:jc w:val="left"/>
        <w:rPr>
          <w:rFonts w:ascii="Times New Roman;serif" w:hAnsi="Times New Roman;serif"/>
          <w:b/>
          <w:color w:val="000000"/>
          <w:sz w:val="24"/>
        </w:rPr>
      </w:pPr>
      <w:r>
        <w:rPr>
          <w:rFonts w:ascii="Times New Roman;serif" w:hAnsi="Times New Roman;serif"/>
          <w:b/>
          <w:color w:val="000000"/>
          <w:sz w:val="24"/>
        </w:rPr>
        <w:t>July 22, 2026</w:t>
      </w:r>
    </w:p>
    <w:p>
      <w:pPr>
        <w:pStyle w:val="TextBody"/>
        <w:bidi w:val="0"/>
        <w:spacing w:before="0" w:after="0"/>
        <w:jc w:val="left"/>
        <w:rPr/>
      </w:pPr>
      <w:r>
        <w:rPr/>
      </w:r>
    </w:p>
    <w:p>
      <w:pPr>
        <w:pStyle w:val="TextBody"/>
        <w:bidi w:val="0"/>
        <w:spacing w:lineRule="auto" w:line="336" w:before="0" w:after="0"/>
        <w:jc w:val="center"/>
        <w:rPr>
          <w:rFonts w:ascii="Arial;sans-serif" w:hAnsi="Arial;sans-serif"/>
          <w:b/>
          <w:color w:val="000000"/>
          <w:sz w:val="18"/>
        </w:rPr>
      </w:pPr>
      <w:r>
        <w:rPr>
          <w:rFonts w:ascii="Arial;sans-serif" w:hAnsi="Arial;sans-serif"/>
          <w:b/>
          <w:color w:val="000000"/>
          <w:sz w:val="18"/>
        </w:rPr>
        <w:t>COCA-COLA EUROPACIFIC PARTNERS PLC</w:t>
      </w:r>
    </w:p>
    <w:p>
      <w:pPr>
        <w:pStyle w:val="TextBody"/>
        <w:bidi w:val="0"/>
        <w:spacing w:lineRule="auto" w:line="336" w:before="0" w:after="0"/>
        <w:jc w:val="center"/>
        <w:rPr>
          <w:rFonts w:ascii="Arial;sans-serif" w:hAnsi="Arial;sans-serif"/>
          <w:b/>
          <w:color w:val="000000"/>
          <w:sz w:val="18"/>
        </w:rPr>
      </w:pPr>
      <w:r>
        <w:rPr>
          <w:rFonts w:ascii="Arial;sans-serif" w:hAnsi="Arial;sans-serif"/>
          <w:b/>
          <w:color w:val="000000"/>
          <w:sz w:val="18"/>
        </w:rPr>
        <w:t>(the “Company”)</w:t>
      </w:r>
    </w:p>
    <w:p>
      <w:pPr>
        <w:pStyle w:val="TextBody"/>
        <w:bidi w:val="0"/>
        <w:spacing w:before="0" w:after="0"/>
        <w:jc w:val="center"/>
        <w:rPr/>
      </w:pPr>
      <w:r>
        <w:rPr/>
      </w:r>
    </w:p>
    <w:p>
      <w:pPr>
        <w:pStyle w:val="TextBody"/>
        <w:bidi w:val="0"/>
        <w:spacing w:lineRule="auto" w:line="336" w:before="0" w:after="0"/>
        <w:jc w:val="left"/>
        <w:rPr>
          <w:rFonts w:ascii="Arial;sans-serif" w:hAnsi="Arial;sans-serif"/>
          <w:b/>
          <w:color w:val="000000"/>
          <w:sz w:val="18"/>
        </w:rPr>
      </w:pPr>
      <w:r>
        <w:rPr>
          <w:rFonts w:ascii="Arial;sans-serif" w:hAnsi="Arial;sans-serif"/>
          <w:b/>
          <w:color w:val="000000"/>
          <w:sz w:val="18"/>
        </w:rPr>
        <w:t>Notification of transactions of persons discharging managerial responsibilities (“PDMR”) or persons closely associated with them (“PCA”)</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640"/>
        <w:gridCol w:w="1639"/>
        <w:gridCol w:w="1557"/>
        <w:gridCol w:w="430"/>
        <w:gridCol w:w="430"/>
        <w:gridCol w:w="430"/>
        <w:gridCol w:w="556"/>
        <w:gridCol w:w="503"/>
        <w:gridCol w:w="356"/>
        <w:gridCol w:w="556"/>
        <w:gridCol w:w="375"/>
        <w:gridCol w:w="314"/>
        <w:gridCol w:w="314"/>
        <w:gridCol w:w="314"/>
        <w:gridCol w:w="4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1</w:t>
            </w:r>
          </w:p>
        </w:tc>
        <w:tc>
          <w:tcPr>
            <w:tcW w:w="9863" w:type="dxa"/>
            <w:gridSpan w:val="15"/>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Details of PDMR / PCA</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a)</w:t>
            </w:r>
          </w:p>
        </w:tc>
        <w:tc>
          <w:tcPr>
            <w:tcW w:w="48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5027"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Edward Walker</w:t>
            </w:r>
          </w:p>
        </w:tc>
      </w:tr>
      <w:tr>
        <w:trPr/>
        <w:tc>
          <w:tcPr>
            <w:tcW w:w="34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2</w:t>
            </w:r>
          </w:p>
        </w:tc>
        <w:tc>
          <w:tcPr>
            <w:tcW w:w="9863" w:type="dxa"/>
            <w:gridSpan w:val="15"/>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Reason for notification</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a)</w:t>
            </w:r>
          </w:p>
        </w:tc>
        <w:tc>
          <w:tcPr>
            <w:tcW w:w="483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Position / status</w:t>
            </w:r>
          </w:p>
        </w:tc>
        <w:tc>
          <w:tcPr>
            <w:tcW w:w="5027" w:type="dxa"/>
            <w:gridSpan w:val="12"/>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Chief Financial Officer</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b)</w:t>
            </w:r>
          </w:p>
        </w:tc>
        <w:tc>
          <w:tcPr>
            <w:tcW w:w="48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Initial notification / amendment</w:t>
            </w:r>
          </w:p>
        </w:tc>
        <w:tc>
          <w:tcPr>
            <w:tcW w:w="5027"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Initial Notification</w:t>
            </w:r>
          </w:p>
        </w:tc>
      </w:tr>
      <w:tr>
        <w:trPr/>
        <w:tc>
          <w:tcPr>
            <w:tcW w:w="34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3</w:t>
            </w:r>
          </w:p>
        </w:tc>
        <w:tc>
          <w:tcPr>
            <w:tcW w:w="9863" w:type="dxa"/>
            <w:gridSpan w:val="15"/>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Details of the issuer, emission allowance market participant, auction platform, auctioneer or auction monitor</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a)</w:t>
            </w:r>
          </w:p>
        </w:tc>
        <w:tc>
          <w:tcPr>
            <w:tcW w:w="483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5027" w:type="dxa"/>
            <w:gridSpan w:val="12"/>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Coca-Cola Europacific Partners plc</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b)</w:t>
            </w:r>
          </w:p>
        </w:tc>
        <w:tc>
          <w:tcPr>
            <w:tcW w:w="48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LEI</w:t>
            </w:r>
          </w:p>
        </w:tc>
        <w:tc>
          <w:tcPr>
            <w:tcW w:w="5027"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549300LTH67W4GWMRF57</w:t>
            </w:r>
          </w:p>
        </w:tc>
      </w:tr>
      <w:tr>
        <w:trPr/>
        <w:tc>
          <w:tcPr>
            <w:tcW w:w="34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4</w:t>
            </w:r>
          </w:p>
        </w:tc>
        <w:tc>
          <w:tcPr>
            <w:tcW w:w="9863" w:type="dxa"/>
            <w:gridSpan w:val="15"/>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Details of the transaction(s): section to be repeated for (i) each type of instrument; (ii) each type of transaction; (iii) each date; and (iv) each place where transactions have been conducted</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a)</w:t>
            </w:r>
          </w:p>
        </w:tc>
        <w:tc>
          <w:tcPr>
            <w:tcW w:w="483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Description of the financial instrument, type of instrument, Identification code</w:t>
            </w:r>
          </w:p>
        </w:tc>
        <w:tc>
          <w:tcPr>
            <w:tcW w:w="5027" w:type="dxa"/>
            <w:gridSpan w:val="12"/>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0"/>
              <w:jc w:val="left"/>
              <w:rPr/>
            </w:pPr>
            <w:r>
              <w:rPr>
                <w:rFonts w:ascii="Arial;sans-serif" w:hAnsi="Arial;sans-serif"/>
                <w:b w:val="false"/>
                <w:color w:val="000000"/>
                <w:sz w:val="18"/>
              </w:rPr>
              <w:t>Ordinary shares of €0.01 each in the Company (“</w:t>
            </w:r>
            <w:r>
              <w:rPr>
                <w:rFonts w:ascii="Arial;sans-serif" w:hAnsi="Arial;sans-serif"/>
                <w:b/>
                <w:color w:val="000000"/>
                <w:sz w:val="18"/>
              </w:rPr>
              <w:t>Ordinary Shares</w:t>
            </w:r>
            <w:r>
              <w:rPr>
                <w:color w:val="000000"/>
              </w:rPr>
              <w:t>”</w:t>
            </w:r>
            <w:r>
              <w:rPr>
                <w:rFonts w:ascii="Arial;sans-serif" w:hAnsi="Arial;sans-serif"/>
                <w:b w:val="false"/>
                <w:color w:val="000000"/>
                <w:sz w:val="18"/>
              </w:rPr>
              <w:t xml:space="preserve">) </w:t>
            </w:r>
          </w:p>
          <w:p>
            <w:pPr>
              <w:pStyle w:val="TableContents"/>
              <w:bidi w:val="0"/>
              <w:spacing w:before="0" w:after="0"/>
              <w:jc w:val="left"/>
              <w:rPr/>
            </w:pPr>
            <w:r>
              <w:rPr/>
            </w:r>
          </w:p>
          <w:p>
            <w:pPr>
              <w:pStyle w:val="TableContents"/>
              <w:bidi w:val="0"/>
              <w:spacing w:lineRule="auto" w:line="256" w:before="0" w:after="0"/>
              <w:jc w:val="left"/>
              <w:rPr>
                <w:rFonts w:ascii="Arial;sans-serif" w:hAnsi="Arial;sans-serif"/>
                <w:b w:val="false"/>
                <w:color w:val="000000"/>
                <w:sz w:val="18"/>
              </w:rPr>
            </w:pPr>
            <w:r>
              <w:rPr>
                <w:rFonts w:ascii="Arial;sans-serif" w:hAnsi="Arial;sans-serif"/>
                <w:b w:val="false"/>
                <w:color w:val="000000"/>
                <w:sz w:val="18"/>
              </w:rPr>
              <w:t>GB00BDCPN049</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b)</w:t>
            </w:r>
          </w:p>
        </w:tc>
        <w:tc>
          <w:tcPr>
            <w:tcW w:w="483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Nature of the transaction</w:t>
            </w:r>
          </w:p>
        </w:tc>
        <w:tc>
          <w:tcPr>
            <w:tcW w:w="5027" w:type="dxa"/>
            <w:gridSpan w:val="12"/>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Acquisition of 3.474300 Ordinary Shares pursuant to the UK Share Plan</w:t>
            </w:r>
          </w:p>
        </w:tc>
      </w:tr>
      <w:tr>
        <w:trPr/>
        <w:tc>
          <w:tcPr>
            <w:tcW w:w="342"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c)</w:t>
            </w:r>
          </w:p>
        </w:tc>
        <w:tc>
          <w:tcPr>
            <w:tcW w:w="4836" w:type="dxa"/>
            <w:gridSpan w:val="3"/>
            <w:vMerge w:val="restart"/>
            <w:tcBorders>
              <w:left w:val="single" w:sz="8" w:space="0" w:color="000000"/>
            </w:tcBorders>
            <w:tcMar>
              <w:top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Price(s) and volume(s)</w:t>
            </w:r>
          </w:p>
        </w:tc>
        <w:tc>
          <w:tcPr>
            <w:tcW w:w="1290"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4836"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129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Price(s)</w:t>
            </w:r>
          </w:p>
        </w:tc>
        <w:tc>
          <w:tcPr>
            <w:tcW w:w="12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Volume(s)</w:t>
            </w:r>
          </w:p>
        </w:tc>
        <w:tc>
          <w:tcPr>
            <w:tcW w:w="107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4836"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129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USD $105.007094</w:t>
            </w:r>
          </w:p>
        </w:tc>
        <w:tc>
          <w:tcPr>
            <w:tcW w:w="12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1.895070</w:t>
            </w:r>
          </w:p>
        </w:tc>
        <w:tc>
          <w:tcPr>
            <w:tcW w:w="107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4836"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129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USD $0.00</w:t>
            </w:r>
          </w:p>
        </w:tc>
        <w:tc>
          <w:tcPr>
            <w:tcW w:w="12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1.579230</w:t>
            </w:r>
          </w:p>
        </w:tc>
        <w:tc>
          <w:tcPr>
            <w:tcW w:w="107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4836"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1290"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d)</w:t>
            </w:r>
          </w:p>
        </w:tc>
        <w:tc>
          <w:tcPr>
            <w:tcW w:w="483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Aggregated information</w:t>
            </w:r>
          </w:p>
          <w:p>
            <w:pPr>
              <w:pStyle w:val="TableContents"/>
              <w:bidi w:val="0"/>
              <w:spacing w:before="0" w:after="0"/>
              <w:jc w:val="left"/>
              <w:rPr/>
            </w:pPr>
            <w:r>
              <w:rPr/>
            </w:r>
          </w:p>
          <w:p>
            <w:pPr>
              <w:pStyle w:val="TableContents"/>
              <w:bidi w:val="0"/>
              <w:spacing w:lineRule="auto" w:line="268" w:before="0" w:after="0"/>
              <w:ind w:left="0" w:right="0" w:hanging="360"/>
              <w:jc w:val="left"/>
              <w:rPr/>
            </w:pPr>
            <w:r>
              <w:rPr>
                <w:color w:val="000000"/>
              </w:rPr>
              <w:t>–</w:t>
            </w:r>
            <w:r>
              <w:rPr>
                <w:rFonts w:ascii="Arial;sans-serif" w:hAnsi="Arial;sans-serif"/>
                <w:b w:val="false"/>
                <w:color w:val="000000"/>
                <w:sz w:val="18"/>
              </w:rPr>
              <w:t>Aggregated volume</w:t>
            </w:r>
          </w:p>
          <w:p>
            <w:pPr>
              <w:pStyle w:val="TableContents"/>
              <w:bidi w:val="0"/>
              <w:spacing w:lineRule="auto" w:line="268" w:before="0" w:after="0"/>
              <w:ind w:left="0" w:right="0" w:hanging="360"/>
              <w:jc w:val="left"/>
              <w:rPr/>
            </w:pPr>
            <w:r>
              <w:rPr>
                <w:color w:val="000000"/>
              </w:rPr>
              <w:t>–</w:t>
            </w:r>
            <w:r>
              <w:rPr>
                <w:rFonts w:ascii="Arial;sans-serif" w:hAnsi="Arial;sans-serif"/>
                <w:b w:val="false"/>
                <w:color w:val="000000"/>
                <w:sz w:val="18"/>
              </w:rPr>
              <w:t>Weighted average price</w:t>
            </w:r>
          </w:p>
          <w:p>
            <w:pPr>
              <w:pStyle w:val="TableContents"/>
              <w:bidi w:val="0"/>
              <w:spacing w:lineRule="auto" w:line="268" w:before="0" w:after="0"/>
              <w:ind w:left="0" w:right="0" w:hanging="360"/>
              <w:jc w:val="left"/>
              <w:rPr/>
            </w:pPr>
            <w:r>
              <w:rPr>
                <w:color w:val="000000"/>
              </w:rPr>
              <w:t>–</w:t>
            </w:r>
            <w:r>
              <w:rPr>
                <w:rFonts w:ascii="Arial;sans-serif" w:hAnsi="Arial;sans-serif"/>
                <w:b w:val="false"/>
                <w:color w:val="000000"/>
                <w:sz w:val="18"/>
              </w:rPr>
              <w:t>Price</w:t>
            </w:r>
          </w:p>
        </w:tc>
        <w:tc>
          <w:tcPr>
            <w:tcW w:w="5027" w:type="dxa"/>
            <w:gridSpan w:val="12"/>
            <w:tcBorders>
              <w:bottom w:val="single" w:sz="8" w:space="0" w:color="000000"/>
              <w:right w:val="single" w:sz="8" w:space="0" w:color="000000"/>
            </w:tcBorders>
            <w:tcMar>
              <w:top w:w="0" w:type="dxa"/>
              <w:left w:w="0" w:type="dxa"/>
              <w:bottom w:w="30" w:type="dxa"/>
            </w:tcMar>
            <w:vAlign w:val="center"/>
          </w:tcPr>
          <w:p>
            <w:pPr>
              <w:pStyle w:val="TableContents"/>
              <w:bidi w:val="0"/>
              <w:spacing w:lineRule="auto" w:line="268" w:before="0" w:after="283"/>
              <w:jc w:val="left"/>
              <w:rPr/>
            </w:pPr>
            <w:r>
              <w:rPr>
                <w:rFonts w:ascii="Arial;sans-serif" w:hAnsi="Arial;sans-serif"/>
                <w:b w:val="false"/>
                <w:sz w:val="18"/>
              </w:rPr>
              <w:br/>
              <w:br/>
              <w:br/>
            </w:r>
            <w:r>
              <w:rPr>
                <w:rFonts w:ascii="Arial;sans-serif" w:hAnsi="Arial;sans-serif"/>
                <w:b w:val="false"/>
                <w:color w:val="000000"/>
                <w:sz w:val="18"/>
              </w:rPr>
              <w:t>Aggregated Volume: 3.474300 Ordinary Shares</w:t>
              <w:br/>
            </w:r>
            <w:r>
              <w:rPr>
                <w:rFonts w:ascii="Arial;sans-serif" w:hAnsi="Arial;sans-serif"/>
                <w:b w:val="false"/>
                <w:sz w:val="18"/>
              </w:rPr>
              <w:br/>
            </w:r>
            <w:r>
              <w:rPr>
                <w:rFonts w:ascii="Arial;sans-serif" w:hAnsi="Arial;sans-serif"/>
                <w:b w:val="false"/>
                <w:color w:val="000000"/>
                <w:sz w:val="18"/>
              </w:rPr>
              <w:t>Weighted Average Price: USD $57.276514</w:t>
              <w:br/>
            </w:r>
            <w:r>
              <w:rPr>
                <w:rFonts w:ascii="Arial;sans-serif" w:hAnsi="Arial;sans-serif"/>
                <w:b w:val="false"/>
                <w:sz w:val="18"/>
              </w:rPr>
              <w:br/>
            </w:r>
            <w:r>
              <w:rPr>
                <w:rFonts w:ascii="Arial;sans-serif" w:hAnsi="Arial;sans-serif"/>
                <w:b w:val="false"/>
                <w:color w:val="000000"/>
                <w:sz w:val="18"/>
              </w:rPr>
              <w:t>Aggregated Price: USD $198.995793</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e)</w:t>
            </w:r>
          </w:p>
        </w:tc>
        <w:tc>
          <w:tcPr>
            <w:tcW w:w="483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Date of the transaction</w:t>
            </w:r>
          </w:p>
        </w:tc>
        <w:tc>
          <w:tcPr>
            <w:tcW w:w="5027" w:type="dxa"/>
            <w:gridSpan w:val="12"/>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2026-07-20</w:t>
            </w:r>
          </w:p>
        </w:tc>
      </w:tr>
      <w:tr>
        <w:trPr/>
        <w:tc>
          <w:tcPr>
            <w:tcW w:w="34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f)</w:t>
            </w:r>
          </w:p>
        </w:tc>
        <w:tc>
          <w:tcPr>
            <w:tcW w:w="483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Place of the transaction</w:t>
            </w:r>
          </w:p>
        </w:tc>
        <w:tc>
          <w:tcPr>
            <w:tcW w:w="5027"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The Nasdaq Stock Market LLC (XNAS)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drawing>
          <wp:inline distT="0" distB="0" distL="0" distR="0">
            <wp:extent cx="1343025" cy="904875"/>
            <wp:effectExtent l="0" t="0" r="0" b="0"/>
            <wp:docPr id="1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 descr=""/>
                    <pic:cNvPicPr>
                      <a:picLocks noChangeAspect="1" noChangeArrowheads="1"/>
                    </pic:cNvPicPr>
                  </pic:nvPicPr>
                  <pic:blipFill>
                    <a:blip r:embed="rId6"/>
                    <a:stretch>
                      <a:fillRect/>
                    </a:stretch>
                  </pic:blipFill>
                  <pic:spPr bwMode="auto">
                    <a:xfrm>
                      <a:off x="0" y="0"/>
                      <a:ext cx="1343025" cy="904875"/>
                    </a:xfrm>
                    <a:prstGeom prst="rect">
                      <a:avLst/>
                    </a:prstGeom>
                  </pic:spPr>
                </pic:pic>
              </a:graphicData>
            </a:graphic>
          </wp:inline>
        </w:drawing>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1"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246"/>
        <w:gridCol w:w="1245"/>
        <w:gridCol w:w="1152"/>
        <w:gridCol w:w="574"/>
        <w:gridCol w:w="574"/>
        <w:gridCol w:w="574"/>
        <w:gridCol w:w="749"/>
        <w:gridCol w:w="523"/>
        <w:gridCol w:w="392"/>
        <w:gridCol w:w="703"/>
        <w:gridCol w:w="392"/>
        <w:gridCol w:w="392"/>
        <w:gridCol w:w="392"/>
        <w:gridCol w:w="392"/>
        <w:gridCol w:w="5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1</w:t>
            </w:r>
          </w:p>
        </w:tc>
        <w:tc>
          <w:tcPr>
            <w:tcW w:w="9863" w:type="dxa"/>
            <w:gridSpan w:val="15"/>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Details of PDMR / PCA</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a)</w:t>
            </w:r>
          </w:p>
        </w:tc>
        <w:tc>
          <w:tcPr>
            <w:tcW w:w="36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6220"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Svetlana Walker</w:t>
            </w:r>
          </w:p>
        </w:tc>
      </w:tr>
      <w:tr>
        <w:trPr/>
        <w:tc>
          <w:tcPr>
            <w:tcW w:w="34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2</w:t>
            </w:r>
          </w:p>
        </w:tc>
        <w:tc>
          <w:tcPr>
            <w:tcW w:w="9863" w:type="dxa"/>
            <w:gridSpan w:val="15"/>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Reason for notification</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a)</w:t>
            </w:r>
          </w:p>
        </w:tc>
        <w:tc>
          <w:tcPr>
            <w:tcW w:w="36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Position / status</w:t>
            </w:r>
          </w:p>
        </w:tc>
        <w:tc>
          <w:tcPr>
            <w:tcW w:w="6220" w:type="dxa"/>
            <w:gridSpan w:val="12"/>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General Counsel and Company Secretary</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b)</w:t>
            </w:r>
          </w:p>
        </w:tc>
        <w:tc>
          <w:tcPr>
            <w:tcW w:w="36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Initial notification / amendment</w:t>
            </w:r>
          </w:p>
        </w:tc>
        <w:tc>
          <w:tcPr>
            <w:tcW w:w="6220"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Initial Notification</w:t>
            </w:r>
          </w:p>
        </w:tc>
      </w:tr>
      <w:tr>
        <w:trPr/>
        <w:tc>
          <w:tcPr>
            <w:tcW w:w="34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3</w:t>
            </w:r>
          </w:p>
        </w:tc>
        <w:tc>
          <w:tcPr>
            <w:tcW w:w="9863" w:type="dxa"/>
            <w:gridSpan w:val="15"/>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Details of the issuer, emission allowance market participant, auction platform, auctioneer or auction monitor</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a)</w:t>
            </w:r>
          </w:p>
        </w:tc>
        <w:tc>
          <w:tcPr>
            <w:tcW w:w="36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6220" w:type="dxa"/>
            <w:gridSpan w:val="12"/>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Coca-Cola Europacific Partners plc</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b)</w:t>
            </w:r>
          </w:p>
        </w:tc>
        <w:tc>
          <w:tcPr>
            <w:tcW w:w="36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LEI</w:t>
            </w:r>
          </w:p>
        </w:tc>
        <w:tc>
          <w:tcPr>
            <w:tcW w:w="6220"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549300LTH67W4GWMRF57</w:t>
            </w:r>
          </w:p>
        </w:tc>
      </w:tr>
      <w:tr>
        <w:trPr/>
        <w:tc>
          <w:tcPr>
            <w:tcW w:w="34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4</w:t>
            </w:r>
          </w:p>
        </w:tc>
        <w:tc>
          <w:tcPr>
            <w:tcW w:w="9863" w:type="dxa"/>
            <w:gridSpan w:val="15"/>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Details of the transaction(s): section to be repeated for (i) each type of instrument; (ii) each type of transaction; (iii) each date; and (iv) each place where transactions have been conducted</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a)</w:t>
            </w:r>
          </w:p>
        </w:tc>
        <w:tc>
          <w:tcPr>
            <w:tcW w:w="36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Description of the financial instrument, type of instrument, Identification code</w:t>
            </w:r>
          </w:p>
        </w:tc>
        <w:tc>
          <w:tcPr>
            <w:tcW w:w="6220" w:type="dxa"/>
            <w:gridSpan w:val="12"/>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0"/>
              <w:jc w:val="left"/>
              <w:rPr/>
            </w:pPr>
            <w:r>
              <w:rPr>
                <w:rFonts w:ascii="Arial;sans-serif" w:hAnsi="Arial;sans-serif"/>
                <w:b w:val="false"/>
                <w:color w:val="000000"/>
                <w:sz w:val="18"/>
              </w:rPr>
              <w:t>Ordinary shares of €0.01 each in the Company (“</w:t>
            </w:r>
            <w:r>
              <w:rPr>
                <w:rFonts w:ascii="Arial;sans-serif" w:hAnsi="Arial;sans-serif"/>
                <w:b/>
                <w:color w:val="000000"/>
                <w:sz w:val="18"/>
              </w:rPr>
              <w:t>Ordinary Shares</w:t>
            </w:r>
            <w:r>
              <w:rPr>
                <w:color w:val="000000"/>
              </w:rPr>
              <w:t>”</w:t>
            </w:r>
            <w:r>
              <w:rPr>
                <w:rFonts w:ascii="Arial;sans-serif" w:hAnsi="Arial;sans-serif"/>
                <w:b w:val="false"/>
                <w:color w:val="000000"/>
                <w:sz w:val="18"/>
              </w:rPr>
              <w:t xml:space="preserve">) </w:t>
            </w:r>
          </w:p>
          <w:p>
            <w:pPr>
              <w:pStyle w:val="TableContents"/>
              <w:bidi w:val="0"/>
              <w:spacing w:before="0" w:after="0"/>
              <w:jc w:val="left"/>
              <w:rPr/>
            </w:pPr>
            <w:r>
              <w:rPr/>
            </w:r>
          </w:p>
          <w:p>
            <w:pPr>
              <w:pStyle w:val="TableContents"/>
              <w:bidi w:val="0"/>
              <w:spacing w:lineRule="auto" w:line="256" w:before="0" w:after="0"/>
              <w:jc w:val="left"/>
              <w:rPr>
                <w:rFonts w:ascii="Arial;sans-serif" w:hAnsi="Arial;sans-serif"/>
                <w:b w:val="false"/>
                <w:color w:val="000000"/>
                <w:sz w:val="18"/>
              </w:rPr>
            </w:pPr>
            <w:r>
              <w:rPr>
                <w:rFonts w:ascii="Arial;sans-serif" w:hAnsi="Arial;sans-serif"/>
                <w:b w:val="false"/>
                <w:color w:val="000000"/>
                <w:sz w:val="18"/>
              </w:rPr>
              <w:t>GB00BDCPN049</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b)</w:t>
            </w:r>
          </w:p>
        </w:tc>
        <w:tc>
          <w:tcPr>
            <w:tcW w:w="36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Nature of the transaction</w:t>
            </w:r>
          </w:p>
        </w:tc>
        <w:tc>
          <w:tcPr>
            <w:tcW w:w="6220" w:type="dxa"/>
            <w:gridSpan w:val="12"/>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Acquisition of 3.474300 Ordinary Shares pursuant to the UK Share Plan</w:t>
            </w:r>
          </w:p>
        </w:tc>
      </w:tr>
      <w:tr>
        <w:trPr/>
        <w:tc>
          <w:tcPr>
            <w:tcW w:w="342"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c)</w:t>
            </w:r>
          </w:p>
        </w:tc>
        <w:tc>
          <w:tcPr>
            <w:tcW w:w="3643" w:type="dxa"/>
            <w:gridSpan w:val="3"/>
            <w:vMerge w:val="restart"/>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Price(s) and volume(s)</w:t>
            </w:r>
          </w:p>
        </w:tc>
        <w:tc>
          <w:tcPr>
            <w:tcW w:w="172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3643"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72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Price(s)</w:t>
            </w:r>
          </w:p>
        </w:tc>
        <w:tc>
          <w:tcPr>
            <w:tcW w:w="14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Volume(s)</w:t>
            </w:r>
          </w:p>
        </w:tc>
        <w:tc>
          <w:tcPr>
            <w:tcW w:w="134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3643"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72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USD $105.007094</w:t>
            </w:r>
          </w:p>
        </w:tc>
        <w:tc>
          <w:tcPr>
            <w:tcW w:w="14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1.895070</w:t>
            </w:r>
          </w:p>
        </w:tc>
        <w:tc>
          <w:tcPr>
            <w:tcW w:w="134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3643"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72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USD $0.00</w:t>
            </w:r>
          </w:p>
        </w:tc>
        <w:tc>
          <w:tcPr>
            <w:tcW w:w="14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1.579230</w:t>
            </w:r>
          </w:p>
        </w:tc>
        <w:tc>
          <w:tcPr>
            <w:tcW w:w="134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3643"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722"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d)</w:t>
            </w:r>
          </w:p>
        </w:tc>
        <w:tc>
          <w:tcPr>
            <w:tcW w:w="36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Aggregated information</w:t>
            </w:r>
          </w:p>
          <w:p>
            <w:pPr>
              <w:pStyle w:val="TableContents"/>
              <w:bidi w:val="0"/>
              <w:spacing w:before="0" w:after="0"/>
              <w:jc w:val="left"/>
              <w:rPr/>
            </w:pPr>
            <w:r>
              <w:rPr/>
            </w:r>
          </w:p>
          <w:p>
            <w:pPr>
              <w:pStyle w:val="TableContents"/>
              <w:bidi w:val="0"/>
              <w:spacing w:lineRule="auto" w:line="268" w:before="0" w:after="0"/>
              <w:ind w:left="0" w:right="0" w:hanging="360"/>
              <w:jc w:val="left"/>
              <w:rPr/>
            </w:pPr>
            <w:r>
              <w:rPr>
                <w:color w:val="000000"/>
              </w:rPr>
              <w:t>–</w:t>
            </w:r>
            <w:r>
              <w:rPr>
                <w:rFonts w:ascii="Arial;sans-serif" w:hAnsi="Arial;sans-serif"/>
                <w:b w:val="false"/>
                <w:color w:val="000000"/>
                <w:sz w:val="18"/>
              </w:rPr>
              <w:t>Aggregated volume</w:t>
            </w:r>
          </w:p>
          <w:p>
            <w:pPr>
              <w:pStyle w:val="TableContents"/>
              <w:bidi w:val="0"/>
              <w:spacing w:lineRule="auto" w:line="268" w:before="0" w:after="0"/>
              <w:ind w:left="0" w:right="0" w:hanging="360"/>
              <w:jc w:val="left"/>
              <w:rPr/>
            </w:pPr>
            <w:r>
              <w:rPr>
                <w:color w:val="000000"/>
              </w:rPr>
              <w:t>–</w:t>
            </w:r>
            <w:r>
              <w:rPr>
                <w:rFonts w:ascii="Arial;sans-serif" w:hAnsi="Arial;sans-serif"/>
                <w:b w:val="false"/>
                <w:color w:val="000000"/>
                <w:sz w:val="18"/>
              </w:rPr>
              <w:t>Weighted average price</w:t>
            </w:r>
          </w:p>
          <w:p>
            <w:pPr>
              <w:pStyle w:val="TableContents"/>
              <w:bidi w:val="0"/>
              <w:spacing w:lineRule="auto" w:line="268" w:before="0" w:after="0"/>
              <w:ind w:left="0" w:right="0" w:hanging="360"/>
              <w:jc w:val="left"/>
              <w:rPr/>
            </w:pPr>
            <w:r>
              <w:rPr>
                <w:color w:val="000000"/>
              </w:rPr>
              <w:t>–</w:t>
            </w:r>
            <w:r>
              <w:rPr>
                <w:rFonts w:ascii="Arial;sans-serif" w:hAnsi="Arial;sans-serif"/>
                <w:b w:val="false"/>
                <w:color w:val="000000"/>
                <w:sz w:val="18"/>
              </w:rPr>
              <w:t>Price</w:t>
            </w:r>
          </w:p>
        </w:tc>
        <w:tc>
          <w:tcPr>
            <w:tcW w:w="6220" w:type="dxa"/>
            <w:gridSpan w:val="12"/>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68" w:before="0" w:after="283"/>
              <w:jc w:val="left"/>
              <w:rPr/>
            </w:pPr>
            <w:r>
              <w:rPr>
                <w:rFonts w:ascii="Arial;sans-serif" w:hAnsi="Arial;sans-serif"/>
                <w:b w:val="false"/>
                <w:sz w:val="18"/>
              </w:rPr>
              <w:br/>
              <w:br/>
            </w:r>
            <w:r>
              <w:rPr>
                <w:rFonts w:ascii="Arial;sans-serif" w:hAnsi="Arial;sans-serif"/>
                <w:b w:val="false"/>
                <w:color w:val="000000"/>
                <w:sz w:val="18"/>
              </w:rPr>
              <w:t>Aggregated Volume: 3.474300 Ordinary Shares</w:t>
              <w:br/>
            </w:r>
            <w:r>
              <w:rPr>
                <w:rFonts w:ascii="Arial;sans-serif" w:hAnsi="Arial;sans-serif"/>
                <w:b w:val="false"/>
                <w:sz w:val="18"/>
              </w:rPr>
              <w:br/>
            </w:r>
            <w:r>
              <w:rPr>
                <w:rFonts w:ascii="Arial;sans-serif" w:hAnsi="Arial;sans-serif"/>
                <w:b w:val="false"/>
                <w:color w:val="000000"/>
                <w:sz w:val="18"/>
              </w:rPr>
              <w:t>Weighted Average Price: USD $57.276514</w:t>
              <w:br/>
            </w:r>
            <w:r>
              <w:rPr>
                <w:rFonts w:ascii="Arial;sans-serif" w:hAnsi="Arial;sans-serif"/>
                <w:b w:val="false"/>
                <w:sz w:val="18"/>
              </w:rPr>
              <w:br/>
            </w:r>
            <w:r>
              <w:rPr>
                <w:rFonts w:ascii="Arial;sans-serif" w:hAnsi="Arial;sans-serif"/>
                <w:b w:val="false"/>
                <w:color w:val="000000"/>
                <w:sz w:val="18"/>
              </w:rPr>
              <w:t>Aggregated Price: USD $198.995793</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e)</w:t>
            </w:r>
          </w:p>
        </w:tc>
        <w:tc>
          <w:tcPr>
            <w:tcW w:w="36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Date of the transaction</w:t>
            </w:r>
          </w:p>
        </w:tc>
        <w:tc>
          <w:tcPr>
            <w:tcW w:w="6220"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2026-07-20</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f)</w:t>
            </w:r>
          </w:p>
        </w:tc>
        <w:tc>
          <w:tcPr>
            <w:tcW w:w="36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Place of the transaction</w:t>
            </w:r>
          </w:p>
        </w:tc>
        <w:tc>
          <w:tcPr>
            <w:tcW w:w="6220"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The Nasdaq Stock Market LLC (XNAS)</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4</w:t>
            </w:r>
          </w:p>
        </w:tc>
        <w:tc>
          <w:tcPr>
            <w:tcW w:w="9863" w:type="dxa"/>
            <w:gridSpan w:val="15"/>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Details of the transaction(s): section to be repeated for (i) each type of instrument; (ii) each type of transaction; (iii) each date; and (iv) each place where transactions have been conducted</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a)</w:t>
            </w:r>
          </w:p>
        </w:tc>
        <w:tc>
          <w:tcPr>
            <w:tcW w:w="36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Description of the financial instrument, type of instrument, Identification code</w:t>
            </w:r>
          </w:p>
        </w:tc>
        <w:tc>
          <w:tcPr>
            <w:tcW w:w="6220" w:type="dxa"/>
            <w:gridSpan w:val="12"/>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0"/>
              <w:jc w:val="left"/>
              <w:rPr/>
            </w:pPr>
            <w:r>
              <w:rPr>
                <w:rFonts w:ascii="Arial;sans-serif" w:hAnsi="Arial;sans-serif"/>
                <w:b w:val="false"/>
                <w:color w:val="000000"/>
                <w:sz w:val="18"/>
              </w:rPr>
              <w:t>Ordinary shares of €0.01 each in the Company (“</w:t>
            </w:r>
            <w:r>
              <w:rPr>
                <w:rFonts w:ascii="Arial;sans-serif" w:hAnsi="Arial;sans-serif"/>
                <w:b/>
                <w:color w:val="000000"/>
                <w:sz w:val="18"/>
              </w:rPr>
              <w:t>Ordinary Shares</w:t>
            </w:r>
            <w:r>
              <w:rPr>
                <w:color w:val="000000"/>
              </w:rPr>
              <w:t>”</w:t>
            </w:r>
            <w:r>
              <w:rPr>
                <w:rFonts w:ascii="Arial;sans-serif" w:hAnsi="Arial;sans-serif"/>
                <w:b w:val="false"/>
                <w:color w:val="000000"/>
                <w:sz w:val="18"/>
              </w:rPr>
              <w:t xml:space="preserve">) </w:t>
            </w:r>
          </w:p>
          <w:p>
            <w:pPr>
              <w:pStyle w:val="TableContents"/>
              <w:bidi w:val="0"/>
              <w:spacing w:before="0" w:after="0"/>
              <w:jc w:val="left"/>
              <w:rPr/>
            </w:pPr>
            <w:r>
              <w:rPr/>
            </w:r>
          </w:p>
          <w:p>
            <w:pPr>
              <w:pStyle w:val="TableContents"/>
              <w:bidi w:val="0"/>
              <w:spacing w:lineRule="auto" w:line="256" w:before="0" w:after="0"/>
              <w:jc w:val="left"/>
              <w:rPr>
                <w:rFonts w:ascii="Arial;sans-serif" w:hAnsi="Arial;sans-serif"/>
                <w:b w:val="false"/>
                <w:color w:val="000000"/>
                <w:sz w:val="18"/>
              </w:rPr>
            </w:pPr>
            <w:r>
              <w:rPr>
                <w:rFonts w:ascii="Arial;sans-serif" w:hAnsi="Arial;sans-serif"/>
                <w:b w:val="false"/>
                <w:color w:val="000000"/>
                <w:sz w:val="18"/>
              </w:rPr>
              <w:t>GB00BDCPN049</w:t>
            </w:r>
          </w:p>
        </w:tc>
      </w:tr>
      <w:tr>
        <w:trPr/>
        <w:tc>
          <w:tcPr>
            <w:tcW w:w="34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b)</w:t>
            </w:r>
          </w:p>
        </w:tc>
        <w:tc>
          <w:tcPr>
            <w:tcW w:w="364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Nature of the transaction</w:t>
            </w:r>
          </w:p>
        </w:tc>
        <w:tc>
          <w:tcPr>
            <w:tcW w:w="6220"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Acquisition of 1.889300 Ordinary Shares pursuant to the UK Shareshop</w:t>
            </w:r>
          </w:p>
        </w:tc>
      </w:tr>
    </w:tbl>
    <w:p>
      <w:pPr>
        <w:pStyle w:val="TextBody"/>
        <w:bidi w:val="0"/>
        <w:spacing w:before="0" w:after="0"/>
        <w:jc w:val="left"/>
        <w:rPr/>
      </w:pPr>
      <w:r>
        <w:rPr/>
        <w:drawing>
          <wp:inline distT="0" distB="0" distL="0" distR="0">
            <wp:extent cx="1343025" cy="904875"/>
            <wp:effectExtent l="0" t="0" r="0" b="0"/>
            <wp:docPr id="1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 descr=""/>
                    <pic:cNvPicPr>
                      <a:picLocks noChangeAspect="1" noChangeArrowheads="1"/>
                    </pic:cNvPicPr>
                  </pic:nvPicPr>
                  <pic:blipFill>
                    <a:blip r:embed="rId7"/>
                    <a:stretch>
                      <a:fillRect/>
                    </a:stretch>
                  </pic:blipFill>
                  <pic:spPr bwMode="auto">
                    <a:xfrm>
                      <a:off x="0" y="0"/>
                      <a:ext cx="1343025" cy="904875"/>
                    </a:xfrm>
                    <a:prstGeom prst="rect">
                      <a:avLst/>
                    </a:prstGeom>
                  </pic:spPr>
                </pic:pic>
              </a:graphicData>
            </a:graphic>
          </wp:inline>
        </w:drawing>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3"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tbl>
      <w:tblPr>
        <w:tblW w:w="6547" w:type="dxa"/>
        <w:jc w:val="left"/>
        <w:tblInd w:w="0" w:type="dxa"/>
        <w:tblLayout w:type="fixed"/>
        <w:tblCellMar>
          <w:top w:w="28" w:type="dxa"/>
          <w:left w:w="28" w:type="dxa"/>
          <w:bottom w:w="28" w:type="dxa"/>
          <w:right w:w="28" w:type="dxa"/>
        </w:tblCellMar>
      </w:tblPr>
      <w:tblGrid>
        <w:gridCol w:w="124"/>
        <w:gridCol w:w="109"/>
        <w:gridCol w:w="109"/>
        <w:gridCol w:w="724"/>
        <w:gridCol w:w="724"/>
        <w:gridCol w:w="727"/>
        <w:gridCol w:w="134"/>
        <w:gridCol w:w="134"/>
        <w:gridCol w:w="134"/>
        <w:gridCol w:w="668"/>
        <w:gridCol w:w="668"/>
        <w:gridCol w:w="674"/>
        <w:gridCol w:w="386"/>
        <w:gridCol w:w="386"/>
        <w:gridCol w:w="389"/>
        <w:gridCol w:w="134"/>
        <w:gridCol w:w="134"/>
        <w:gridCol w:w="1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c)</w:t>
            </w:r>
          </w:p>
        </w:tc>
        <w:tc>
          <w:tcPr>
            <w:tcW w:w="2175" w:type="dxa"/>
            <w:gridSpan w:val="3"/>
            <w:vMerge w:val="restart"/>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Price(s) and volume(s)</w:t>
            </w:r>
          </w:p>
        </w:tc>
        <w:tc>
          <w:tcPr>
            <w:tcW w:w="40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2175"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40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Price(s)</w:t>
            </w:r>
          </w:p>
        </w:tc>
        <w:tc>
          <w:tcPr>
            <w:tcW w:w="11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Volume(s)</w:t>
            </w:r>
          </w:p>
        </w:tc>
        <w:tc>
          <w:tcPr>
            <w:tcW w:w="45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2175"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40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USD $105.007100</w:t>
            </w:r>
          </w:p>
        </w:tc>
        <w:tc>
          <w:tcPr>
            <w:tcW w:w="11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1.889300</w:t>
            </w:r>
          </w:p>
        </w:tc>
        <w:tc>
          <w:tcPr>
            <w:tcW w:w="45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2175"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40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d)</w:t>
            </w:r>
          </w:p>
        </w:tc>
        <w:tc>
          <w:tcPr>
            <w:tcW w:w="21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Aggregated information</w:t>
            </w:r>
          </w:p>
          <w:p>
            <w:pPr>
              <w:pStyle w:val="TableContents"/>
              <w:bidi w:val="0"/>
              <w:spacing w:before="0" w:after="0"/>
              <w:jc w:val="left"/>
              <w:rPr/>
            </w:pPr>
            <w:r>
              <w:rPr/>
            </w:r>
          </w:p>
          <w:p>
            <w:pPr>
              <w:pStyle w:val="TableContents"/>
              <w:bidi w:val="0"/>
              <w:spacing w:lineRule="auto" w:line="268" w:before="0" w:after="0"/>
              <w:ind w:left="0" w:right="0" w:hanging="360"/>
              <w:jc w:val="left"/>
              <w:rPr/>
            </w:pPr>
            <w:r>
              <w:rPr>
                <w:color w:val="000000"/>
              </w:rPr>
              <w:t>–</w:t>
            </w:r>
            <w:r>
              <w:rPr>
                <w:rFonts w:ascii="Arial;sans-serif" w:hAnsi="Arial;sans-serif"/>
                <w:b w:val="false"/>
                <w:color w:val="000000"/>
                <w:sz w:val="18"/>
              </w:rPr>
              <w:t>Aggregated volume</w:t>
            </w:r>
          </w:p>
          <w:p>
            <w:pPr>
              <w:pStyle w:val="TableContents"/>
              <w:bidi w:val="0"/>
              <w:spacing w:lineRule="auto" w:line="268" w:before="0" w:after="0"/>
              <w:ind w:left="0" w:right="0" w:hanging="360"/>
              <w:jc w:val="left"/>
              <w:rPr/>
            </w:pPr>
            <w:r>
              <w:rPr>
                <w:color w:val="000000"/>
              </w:rPr>
              <w:t>–</w:t>
            </w:r>
            <w:r>
              <w:rPr>
                <w:rFonts w:ascii="Arial;sans-serif" w:hAnsi="Arial;sans-serif"/>
                <w:b w:val="false"/>
                <w:color w:val="000000"/>
                <w:sz w:val="18"/>
              </w:rPr>
              <w:t>Weighted average price</w:t>
            </w:r>
          </w:p>
          <w:p>
            <w:pPr>
              <w:pStyle w:val="TableContents"/>
              <w:bidi w:val="0"/>
              <w:spacing w:lineRule="auto" w:line="268" w:before="0" w:after="0"/>
              <w:ind w:left="0" w:right="0" w:hanging="360"/>
              <w:jc w:val="left"/>
              <w:rPr/>
            </w:pPr>
            <w:r>
              <w:rPr>
                <w:color w:val="000000"/>
              </w:rPr>
              <w:t>–</w:t>
            </w:r>
            <w:r>
              <w:rPr>
                <w:rFonts w:ascii="Arial;sans-serif" w:hAnsi="Arial;sans-serif"/>
                <w:b w:val="false"/>
                <w:color w:val="000000"/>
                <w:sz w:val="18"/>
              </w:rPr>
              <w:t>Price</w:t>
            </w:r>
          </w:p>
        </w:tc>
        <w:tc>
          <w:tcPr>
            <w:tcW w:w="4030"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left"/>
              <w:rPr/>
            </w:pPr>
            <w:r>
              <w:rPr>
                <w:rFonts w:ascii="Arial;sans-serif" w:hAnsi="Arial;sans-serif"/>
                <w:b w:val="false"/>
                <w:sz w:val="18"/>
              </w:rPr>
              <w:br/>
              <w:br/>
              <w:br/>
            </w:r>
            <w:r>
              <w:rPr>
                <w:rFonts w:ascii="Arial;sans-serif" w:hAnsi="Arial;sans-serif"/>
                <w:b w:val="false"/>
                <w:color w:val="000000"/>
                <w:sz w:val="18"/>
              </w:rPr>
              <w:t>Aggregated Volume: 1.889300 Ordinary Shares</w:t>
              <w:br/>
            </w:r>
            <w:r>
              <w:rPr>
                <w:rFonts w:ascii="Arial;sans-serif" w:hAnsi="Arial;sans-serif"/>
                <w:b w:val="false"/>
                <w:sz w:val="18"/>
              </w:rPr>
              <w:br/>
            </w:r>
            <w:r>
              <w:rPr>
                <w:rFonts w:ascii="Arial;sans-serif" w:hAnsi="Arial;sans-serif"/>
                <w:b w:val="false"/>
                <w:color w:val="000000"/>
                <w:sz w:val="18"/>
              </w:rPr>
              <w:t>Weighted Average Price: USD $105.007100</w:t>
              <w:br/>
            </w:r>
            <w:r>
              <w:rPr>
                <w:rFonts w:ascii="Arial;sans-serif" w:hAnsi="Arial;sans-serif"/>
                <w:b w:val="false"/>
                <w:sz w:val="18"/>
              </w:rPr>
              <w:br/>
            </w:r>
            <w:r>
              <w:rPr>
                <w:rFonts w:ascii="Arial;sans-serif" w:hAnsi="Arial;sans-serif"/>
                <w:b w:val="false"/>
                <w:color w:val="000000"/>
                <w:sz w:val="18"/>
              </w:rPr>
              <w:t>Aggregated Price: USD $198.389914</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e)</w:t>
            </w:r>
          </w:p>
        </w:tc>
        <w:tc>
          <w:tcPr>
            <w:tcW w:w="21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Date of the transaction</w:t>
            </w:r>
          </w:p>
        </w:tc>
        <w:tc>
          <w:tcPr>
            <w:tcW w:w="4030"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2026-07-20</w:t>
            </w:r>
          </w:p>
        </w:tc>
      </w:tr>
      <w:tr>
        <w:trPr/>
        <w:tc>
          <w:tcPr>
            <w:tcW w:w="34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f)</w:t>
            </w:r>
          </w:p>
        </w:tc>
        <w:tc>
          <w:tcPr>
            <w:tcW w:w="217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Place of the transaction</w:t>
            </w:r>
          </w:p>
        </w:tc>
        <w:tc>
          <w:tcPr>
            <w:tcW w:w="4030"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The Nasdaq Stock Market LLC (XNAS)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drawing>
          <wp:inline distT="0" distB="0" distL="0" distR="0">
            <wp:extent cx="1343025" cy="904875"/>
            <wp:effectExtent l="0" t="0" r="0" b="0"/>
            <wp:docPr id="1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 descr=""/>
                    <pic:cNvPicPr>
                      <a:picLocks noChangeAspect="1" noChangeArrowheads="1"/>
                    </pic:cNvPicPr>
                  </pic:nvPicPr>
                  <pic:blipFill>
                    <a:blip r:embed="rId8"/>
                    <a:stretch>
                      <a:fillRect/>
                    </a:stretch>
                  </pic:blipFill>
                  <pic:spPr bwMode="auto">
                    <a:xfrm>
                      <a:off x="0" y="0"/>
                      <a:ext cx="1343025" cy="904875"/>
                    </a:xfrm>
                    <a:prstGeom prst="rect">
                      <a:avLst/>
                    </a:prstGeom>
                  </pic:spPr>
                </pic:pic>
              </a:graphicData>
            </a:graphic>
          </wp:inline>
        </w:drawing>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5"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564"/>
        <w:gridCol w:w="1563"/>
        <w:gridCol w:w="1479"/>
        <w:gridCol w:w="457"/>
        <w:gridCol w:w="457"/>
        <w:gridCol w:w="457"/>
        <w:gridCol w:w="592"/>
        <w:gridCol w:w="542"/>
        <w:gridCol w:w="329"/>
        <w:gridCol w:w="592"/>
        <w:gridCol w:w="370"/>
        <w:gridCol w:w="329"/>
        <w:gridCol w:w="329"/>
        <w:gridCol w:w="329"/>
        <w:gridCol w:w="47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1</w:t>
            </w:r>
          </w:p>
        </w:tc>
        <w:tc>
          <w:tcPr>
            <w:tcW w:w="9863" w:type="dxa"/>
            <w:gridSpan w:val="15"/>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Details of PDMR / PCA</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a)</w:t>
            </w:r>
          </w:p>
        </w:tc>
        <w:tc>
          <w:tcPr>
            <w:tcW w:w="46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5257"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Stephen Lusk</w:t>
            </w:r>
          </w:p>
        </w:tc>
      </w:tr>
      <w:tr>
        <w:trPr/>
        <w:tc>
          <w:tcPr>
            <w:tcW w:w="34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2</w:t>
            </w:r>
          </w:p>
        </w:tc>
        <w:tc>
          <w:tcPr>
            <w:tcW w:w="9863" w:type="dxa"/>
            <w:gridSpan w:val="15"/>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Reason for notification</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a)</w:t>
            </w:r>
          </w:p>
        </w:tc>
        <w:tc>
          <w:tcPr>
            <w:tcW w:w="46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Position / status</w:t>
            </w:r>
          </w:p>
        </w:tc>
        <w:tc>
          <w:tcPr>
            <w:tcW w:w="5257" w:type="dxa"/>
            <w:gridSpan w:val="12"/>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Chief Commercial Officer</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b)</w:t>
            </w:r>
          </w:p>
        </w:tc>
        <w:tc>
          <w:tcPr>
            <w:tcW w:w="46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Initial notification / amendment</w:t>
            </w:r>
          </w:p>
        </w:tc>
        <w:tc>
          <w:tcPr>
            <w:tcW w:w="5257"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Initial Notification</w:t>
            </w:r>
          </w:p>
        </w:tc>
      </w:tr>
      <w:tr>
        <w:trPr/>
        <w:tc>
          <w:tcPr>
            <w:tcW w:w="34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3</w:t>
            </w:r>
          </w:p>
        </w:tc>
        <w:tc>
          <w:tcPr>
            <w:tcW w:w="9863" w:type="dxa"/>
            <w:gridSpan w:val="15"/>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Details of the issuer, emission allowance market participant, auction platform, auctioneer or auction monitor</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a)</w:t>
            </w:r>
          </w:p>
        </w:tc>
        <w:tc>
          <w:tcPr>
            <w:tcW w:w="46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5257" w:type="dxa"/>
            <w:gridSpan w:val="12"/>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Coca-Cola Europacific Partners plc</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b)</w:t>
            </w:r>
          </w:p>
        </w:tc>
        <w:tc>
          <w:tcPr>
            <w:tcW w:w="46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LEI</w:t>
            </w:r>
          </w:p>
        </w:tc>
        <w:tc>
          <w:tcPr>
            <w:tcW w:w="5257"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549300LTH67W4GWMRF57</w:t>
            </w:r>
          </w:p>
        </w:tc>
      </w:tr>
      <w:tr>
        <w:trPr/>
        <w:tc>
          <w:tcPr>
            <w:tcW w:w="34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4</w:t>
            </w:r>
          </w:p>
        </w:tc>
        <w:tc>
          <w:tcPr>
            <w:tcW w:w="9863" w:type="dxa"/>
            <w:gridSpan w:val="15"/>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Details of the transaction(s): section to be repeated for (i) each type of instrument; (ii) each type of transaction; (iii) each date; and (iv) each place where transactions have been conducted</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a)</w:t>
            </w:r>
          </w:p>
        </w:tc>
        <w:tc>
          <w:tcPr>
            <w:tcW w:w="46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Description of the financial instrument, type of instrument, Identification code</w:t>
            </w:r>
          </w:p>
        </w:tc>
        <w:tc>
          <w:tcPr>
            <w:tcW w:w="5257" w:type="dxa"/>
            <w:gridSpan w:val="12"/>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0"/>
              <w:jc w:val="left"/>
              <w:rPr/>
            </w:pPr>
            <w:r>
              <w:rPr>
                <w:rFonts w:ascii="Arial;sans-serif" w:hAnsi="Arial;sans-serif"/>
                <w:b w:val="false"/>
                <w:color w:val="000000"/>
                <w:sz w:val="18"/>
              </w:rPr>
              <w:t>Ordinary shares of €0.01 each in the Company (“</w:t>
            </w:r>
            <w:r>
              <w:rPr>
                <w:rFonts w:ascii="Arial;sans-serif" w:hAnsi="Arial;sans-serif"/>
                <w:b/>
                <w:color w:val="000000"/>
                <w:sz w:val="18"/>
              </w:rPr>
              <w:t>Ordinary Shares</w:t>
            </w:r>
            <w:r>
              <w:rPr>
                <w:color w:val="000000"/>
              </w:rPr>
              <w:t>”</w:t>
            </w:r>
            <w:r>
              <w:rPr>
                <w:rFonts w:ascii="Arial;sans-serif" w:hAnsi="Arial;sans-serif"/>
                <w:b w:val="false"/>
                <w:color w:val="000000"/>
                <w:sz w:val="18"/>
              </w:rPr>
              <w:t xml:space="preserve">) </w:t>
            </w:r>
          </w:p>
          <w:p>
            <w:pPr>
              <w:pStyle w:val="TableContents"/>
              <w:bidi w:val="0"/>
              <w:spacing w:before="0" w:after="0"/>
              <w:jc w:val="left"/>
              <w:rPr/>
            </w:pPr>
            <w:r>
              <w:rPr/>
            </w:r>
          </w:p>
          <w:p>
            <w:pPr>
              <w:pStyle w:val="TableContents"/>
              <w:bidi w:val="0"/>
              <w:spacing w:lineRule="auto" w:line="256" w:before="0" w:after="0"/>
              <w:jc w:val="left"/>
              <w:rPr>
                <w:rFonts w:ascii="Arial;sans-serif" w:hAnsi="Arial;sans-serif"/>
                <w:b w:val="false"/>
                <w:color w:val="000000"/>
                <w:sz w:val="18"/>
              </w:rPr>
            </w:pPr>
            <w:r>
              <w:rPr>
                <w:rFonts w:ascii="Arial;sans-serif" w:hAnsi="Arial;sans-serif"/>
                <w:b w:val="false"/>
                <w:color w:val="000000"/>
                <w:sz w:val="18"/>
              </w:rPr>
              <w:t>GB00BDCPN049</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b)</w:t>
            </w:r>
          </w:p>
        </w:tc>
        <w:tc>
          <w:tcPr>
            <w:tcW w:w="46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Nature of the transaction</w:t>
            </w:r>
          </w:p>
        </w:tc>
        <w:tc>
          <w:tcPr>
            <w:tcW w:w="5257" w:type="dxa"/>
            <w:gridSpan w:val="12"/>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Acquisition of 3.474300 Ordinary Shares pursuant to the UK Share Plan</w:t>
            </w:r>
          </w:p>
        </w:tc>
      </w:tr>
      <w:tr>
        <w:trPr/>
        <w:tc>
          <w:tcPr>
            <w:tcW w:w="342"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c)</w:t>
            </w:r>
          </w:p>
        </w:tc>
        <w:tc>
          <w:tcPr>
            <w:tcW w:w="4606" w:type="dxa"/>
            <w:gridSpan w:val="3"/>
            <w:vMerge w:val="restart"/>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Price(s) and volume(s)</w:t>
            </w:r>
          </w:p>
        </w:tc>
        <w:tc>
          <w:tcPr>
            <w:tcW w:w="137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4606"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37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Price(s)</w:t>
            </w:r>
          </w:p>
        </w:tc>
        <w:tc>
          <w:tcPr>
            <w:tcW w:w="12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Volume(s)</w:t>
            </w:r>
          </w:p>
        </w:tc>
        <w:tc>
          <w:tcPr>
            <w:tcW w:w="1132"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4606"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37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USD $105.007094</w:t>
            </w:r>
          </w:p>
        </w:tc>
        <w:tc>
          <w:tcPr>
            <w:tcW w:w="12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1.895070</w:t>
            </w:r>
          </w:p>
        </w:tc>
        <w:tc>
          <w:tcPr>
            <w:tcW w:w="1132"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4606"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37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USD $0.00</w:t>
            </w:r>
          </w:p>
        </w:tc>
        <w:tc>
          <w:tcPr>
            <w:tcW w:w="12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1.579230</w:t>
            </w:r>
          </w:p>
        </w:tc>
        <w:tc>
          <w:tcPr>
            <w:tcW w:w="1132"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4606"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371"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d)</w:t>
            </w:r>
          </w:p>
        </w:tc>
        <w:tc>
          <w:tcPr>
            <w:tcW w:w="46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Aggregated information</w:t>
            </w:r>
          </w:p>
          <w:p>
            <w:pPr>
              <w:pStyle w:val="TableContents"/>
              <w:bidi w:val="0"/>
              <w:spacing w:before="0" w:after="0"/>
              <w:jc w:val="left"/>
              <w:rPr/>
            </w:pPr>
            <w:r>
              <w:rPr/>
            </w:r>
          </w:p>
          <w:p>
            <w:pPr>
              <w:pStyle w:val="TableContents"/>
              <w:bidi w:val="0"/>
              <w:spacing w:lineRule="auto" w:line="268" w:before="0" w:after="0"/>
              <w:ind w:left="0" w:right="0" w:hanging="360"/>
              <w:jc w:val="left"/>
              <w:rPr/>
            </w:pPr>
            <w:r>
              <w:rPr>
                <w:color w:val="000000"/>
              </w:rPr>
              <w:t>–</w:t>
            </w:r>
            <w:r>
              <w:rPr>
                <w:rFonts w:ascii="Arial;sans-serif" w:hAnsi="Arial;sans-serif"/>
                <w:b w:val="false"/>
                <w:color w:val="000000"/>
                <w:sz w:val="18"/>
              </w:rPr>
              <w:t>Aggregated volume</w:t>
            </w:r>
          </w:p>
          <w:p>
            <w:pPr>
              <w:pStyle w:val="TableContents"/>
              <w:bidi w:val="0"/>
              <w:spacing w:lineRule="auto" w:line="268" w:before="0" w:after="0"/>
              <w:ind w:left="0" w:right="0" w:hanging="360"/>
              <w:jc w:val="left"/>
              <w:rPr/>
            </w:pPr>
            <w:r>
              <w:rPr>
                <w:color w:val="000000"/>
              </w:rPr>
              <w:t>–</w:t>
            </w:r>
            <w:r>
              <w:rPr>
                <w:rFonts w:ascii="Arial;sans-serif" w:hAnsi="Arial;sans-serif"/>
                <w:b w:val="false"/>
                <w:color w:val="000000"/>
                <w:sz w:val="18"/>
              </w:rPr>
              <w:t>Weighted average price</w:t>
            </w:r>
          </w:p>
          <w:p>
            <w:pPr>
              <w:pStyle w:val="TableContents"/>
              <w:bidi w:val="0"/>
              <w:spacing w:lineRule="auto" w:line="268" w:before="0" w:after="0"/>
              <w:ind w:left="0" w:right="0" w:hanging="360"/>
              <w:jc w:val="left"/>
              <w:rPr/>
            </w:pPr>
            <w:r>
              <w:rPr>
                <w:color w:val="000000"/>
              </w:rPr>
              <w:t>–</w:t>
            </w:r>
            <w:r>
              <w:rPr>
                <w:rFonts w:ascii="Arial;sans-serif" w:hAnsi="Arial;sans-serif"/>
                <w:b w:val="false"/>
                <w:color w:val="000000"/>
                <w:sz w:val="18"/>
              </w:rPr>
              <w:t>Price</w:t>
            </w:r>
          </w:p>
        </w:tc>
        <w:tc>
          <w:tcPr>
            <w:tcW w:w="5257" w:type="dxa"/>
            <w:gridSpan w:val="12"/>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68" w:before="0" w:after="283"/>
              <w:jc w:val="left"/>
              <w:rPr/>
            </w:pPr>
            <w:r>
              <w:rPr>
                <w:rFonts w:ascii="Arial;sans-serif" w:hAnsi="Arial;sans-serif"/>
                <w:b w:val="false"/>
                <w:sz w:val="18"/>
              </w:rPr>
              <w:br/>
              <w:br/>
              <w:br/>
            </w:r>
            <w:r>
              <w:rPr>
                <w:rFonts w:ascii="Arial;sans-serif" w:hAnsi="Arial;sans-serif"/>
                <w:b w:val="false"/>
                <w:color w:val="000000"/>
                <w:sz w:val="18"/>
              </w:rPr>
              <w:t>Aggregated Volume: 3.474300 Ordinary Shares</w:t>
              <w:br/>
            </w:r>
            <w:r>
              <w:rPr>
                <w:rFonts w:ascii="Arial;sans-serif" w:hAnsi="Arial;sans-serif"/>
                <w:b w:val="false"/>
                <w:sz w:val="18"/>
              </w:rPr>
              <w:br/>
            </w:r>
            <w:r>
              <w:rPr>
                <w:rFonts w:ascii="Arial;sans-serif" w:hAnsi="Arial;sans-serif"/>
                <w:b w:val="false"/>
                <w:color w:val="000000"/>
                <w:sz w:val="18"/>
              </w:rPr>
              <w:t>Weighted Average Price: USD $57.276514</w:t>
              <w:br/>
            </w:r>
            <w:r>
              <w:rPr>
                <w:rFonts w:ascii="Arial;sans-serif" w:hAnsi="Arial;sans-serif"/>
                <w:b w:val="false"/>
                <w:sz w:val="18"/>
              </w:rPr>
              <w:br/>
            </w:r>
            <w:r>
              <w:rPr>
                <w:rFonts w:ascii="Arial;sans-serif" w:hAnsi="Arial;sans-serif"/>
                <w:b w:val="false"/>
                <w:color w:val="000000"/>
                <w:sz w:val="18"/>
              </w:rPr>
              <w:t>Aggregated Price: USD $198.995793</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e)</w:t>
            </w:r>
          </w:p>
        </w:tc>
        <w:tc>
          <w:tcPr>
            <w:tcW w:w="46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Date of the transaction</w:t>
            </w:r>
          </w:p>
        </w:tc>
        <w:tc>
          <w:tcPr>
            <w:tcW w:w="5257"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2026-07-20</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f)</w:t>
            </w:r>
          </w:p>
        </w:tc>
        <w:tc>
          <w:tcPr>
            <w:tcW w:w="46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Place of the transaction</w:t>
            </w:r>
          </w:p>
        </w:tc>
        <w:tc>
          <w:tcPr>
            <w:tcW w:w="5257"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The Nasdaq Stock Market LLC (XNAS)</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4</w:t>
            </w:r>
          </w:p>
        </w:tc>
        <w:tc>
          <w:tcPr>
            <w:tcW w:w="9863" w:type="dxa"/>
            <w:gridSpan w:val="15"/>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Details of the transaction(s): section to be repeated for (i) each type of instrument; (ii) each type of transaction; (iii) each date; and (iv) each place where transactions have been conducted</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a)</w:t>
            </w:r>
          </w:p>
        </w:tc>
        <w:tc>
          <w:tcPr>
            <w:tcW w:w="46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Description of the financial instrument, type of instrument, Identification code</w:t>
            </w:r>
          </w:p>
        </w:tc>
        <w:tc>
          <w:tcPr>
            <w:tcW w:w="5257" w:type="dxa"/>
            <w:gridSpan w:val="12"/>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0"/>
              <w:jc w:val="left"/>
              <w:rPr/>
            </w:pPr>
            <w:r>
              <w:rPr>
                <w:rFonts w:ascii="Arial;sans-serif" w:hAnsi="Arial;sans-serif"/>
                <w:b w:val="false"/>
                <w:color w:val="000000"/>
                <w:sz w:val="18"/>
              </w:rPr>
              <w:t>Ordinary shares of €0.01 each in the Company (“</w:t>
            </w:r>
            <w:r>
              <w:rPr>
                <w:rFonts w:ascii="Arial;sans-serif" w:hAnsi="Arial;sans-serif"/>
                <w:b/>
                <w:color w:val="000000"/>
                <w:sz w:val="18"/>
              </w:rPr>
              <w:t>Ordinary Shares</w:t>
            </w:r>
            <w:r>
              <w:rPr>
                <w:color w:val="000000"/>
              </w:rPr>
              <w:t>”</w:t>
            </w:r>
            <w:r>
              <w:rPr>
                <w:rFonts w:ascii="Arial;sans-serif" w:hAnsi="Arial;sans-serif"/>
                <w:b w:val="false"/>
                <w:color w:val="000000"/>
                <w:sz w:val="18"/>
              </w:rPr>
              <w:t xml:space="preserve">) </w:t>
            </w:r>
          </w:p>
          <w:p>
            <w:pPr>
              <w:pStyle w:val="TableContents"/>
              <w:bidi w:val="0"/>
              <w:spacing w:before="0" w:after="0"/>
              <w:jc w:val="left"/>
              <w:rPr/>
            </w:pPr>
            <w:r>
              <w:rPr/>
            </w:r>
          </w:p>
          <w:p>
            <w:pPr>
              <w:pStyle w:val="TableContents"/>
              <w:bidi w:val="0"/>
              <w:spacing w:lineRule="auto" w:line="256" w:before="0" w:after="0"/>
              <w:jc w:val="left"/>
              <w:rPr>
                <w:rFonts w:ascii="Arial;sans-serif" w:hAnsi="Arial;sans-serif"/>
                <w:b w:val="false"/>
                <w:color w:val="000000"/>
                <w:sz w:val="18"/>
              </w:rPr>
            </w:pPr>
            <w:r>
              <w:rPr>
                <w:rFonts w:ascii="Arial;sans-serif" w:hAnsi="Arial;sans-serif"/>
                <w:b w:val="false"/>
                <w:color w:val="000000"/>
                <w:sz w:val="18"/>
              </w:rPr>
              <w:t>GB00BDCPN049</w:t>
            </w:r>
          </w:p>
        </w:tc>
      </w:tr>
      <w:tr>
        <w:trPr/>
        <w:tc>
          <w:tcPr>
            <w:tcW w:w="34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b)</w:t>
            </w:r>
          </w:p>
        </w:tc>
        <w:tc>
          <w:tcPr>
            <w:tcW w:w="460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Nature of the transaction</w:t>
            </w:r>
          </w:p>
        </w:tc>
        <w:tc>
          <w:tcPr>
            <w:tcW w:w="5257"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Acquisition of 1.889300 Ordinary Shares pursuant to the UK Shareshop</w:t>
            </w:r>
          </w:p>
        </w:tc>
      </w:tr>
    </w:tbl>
    <w:p>
      <w:pPr>
        <w:pStyle w:val="TextBody"/>
        <w:bidi w:val="0"/>
        <w:spacing w:before="0" w:after="0"/>
        <w:jc w:val="left"/>
        <w:rPr/>
      </w:pPr>
      <w:r>
        <w:rPr/>
        <w:drawing>
          <wp:inline distT="0" distB="0" distL="0" distR="0">
            <wp:extent cx="1343025" cy="904875"/>
            <wp:effectExtent l="0" t="0" r="0" b="0"/>
            <wp:docPr id="1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 descr=""/>
                    <pic:cNvPicPr>
                      <a:picLocks noChangeAspect="1" noChangeArrowheads="1"/>
                    </pic:cNvPicPr>
                  </pic:nvPicPr>
                  <pic:blipFill>
                    <a:blip r:embed="rId9"/>
                    <a:stretch>
                      <a:fillRect/>
                    </a:stretch>
                  </pic:blipFill>
                  <pic:spPr bwMode="auto">
                    <a:xfrm>
                      <a:off x="0" y="0"/>
                      <a:ext cx="1343025" cy="904875"/>
                    </a:xfrm>
                    <a:prstGeom prst="rect">
                      <a:avLst/>
                    </a:prstGeom>
                  </pic:spPr>
                </pic:pic>
              </a:graphicData>
            </a:graphic>
          </wp:inline>
        </w:drawing>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7"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tbl>
      <w:tblPr>
        <w:tblW w:w="6547" w:type="dxa"/>
        <w:jc w:val="left"/>
        <w:tblInd w:w="0" w:type="dxa"/>
        <w:tblLayout w:type="fixed"/>
        <w:tblCellMar>
          <w:top w:w="28" w:type="dxa"/>
          <w:left w:w="28" w:type="dxa"/>
          <w:bottom w:w="28" w:type="dxa"/>
          <w:right w:w="28" w:type="dxa"/>
        </w:tblCellMar>
      </w:tblPr>
      <w:tblGrid>
        <w:gridCol w:w="124"/>
        <w:gridCol w:w="109"/>
        <w:gridCol w:w="109"/>
        <w:gridCol w:w="724"/>
        <w:gridCol w:w="724"/>
        <w:gridCol w:w="727"/>
        <w:gridCol w:w="134"/>
        <w:gridCol w:w="134"/>
        <w:gridCol w:w="134"/>
        <w:gridCol w:w="668"/>
        <w:gridCol w:w="668"/>
        <w:gridCol w:w="674"/>
        <w:gridCol w:w="386"/>
        <w:gridCol w:w="386"/>
        <w:gridCol w:w="389"/>
        <w:gridCol w:w="134"/>
        <w:gridCol w:w="134"/>
        <w:gridCol w:w="1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c)</w:t>
            </w:r>
          </w:p>
        </w:tc>
        <w:tc>
          <w:tcPr>
            <w:tcW w:w="2175" w:type="dxa"/>
            <w:gridSpan w:val="3"/>
            <w:vMerge w:val="restart"/>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Price(s) and volume(s)</w:t>
            </w:r>
          </w:p>
        </w:tc>
        <w:tc>
          <w:tcPr>
            <w:tcW w:w="40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2175"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40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Price(s)</w:t>
            </w:r>
          </w:p>
        </w:tc>
        <w:tc>
          <w:tcPr>
            <w:tcW w:w="11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Volume(s)</w:t>
            </w:r>
          </w:p>
        </w:tc>
        <w:tc>
          <w:tcPr>
            <w:tcW w:w="45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2175"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40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USD $105.007100</w:t>
            </w:r>
          </w:p>
        </w:tc>
        <w:tc>
          <w:tcPr>
            <w:tcW w:w="11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1.889300</w:t>
            </w:r>
          </w:p>
        </w:tc>
        <w:tc>
          <w:tcPr>
            <w:tcW w:w="45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2175"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40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d)</w:t>
            </w:r>
          </w:p>
        </w:tc>
        <w:tc>
          <w:tcPr>
            <w:tcW w:w="21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Aggregated information</w:t>
            </w:r>
          </w:p>
          <w:p>
            <w:pPr>
              <w:pStyle w:val="TableContents"/>
              <w:bidi w:val="0"/>
              <w:spacing w:before="0" w:after="0"/>
              <w:jc w:val="left"/>
              <w:rPr/>
            </w:pPr>
            <w:r>
              <w:rPr/>
            </w:r>
          </w:p>
          <w:p>
            <w:pPr>
              <w:pStyle w:val="TableContents"/>
              <w:bidi w:val="0"/>
              <w:spacing w:lineRule="auto" w:line="268" w:before="0" w:after="0"/>
              <w:ind w:left="0" w:right="0" w:hanging="360"/>
              <w:jc w:val="left"/>
              <w:rPr/>
            </w:pPr>
            <w:r>
              <w:rPr>
                <w:color w:val="000000"/>
              </w:rPr>
              <w:t>–</w:t>
            </w:r>
            <w:r>
              <w:rPr>
                <w:rFonts w:ascii="Arial;sans-serif" w:hAnsi="Arial;sans-serif"/>
                <w:b w:val="false"/>
                <w:color w:val="000000"/>
                <w:sz w:val="18"/>
              </w:rPr>
              <w:t>Aggregated volume</w:t>
            </w:r>
          </w:p>
          <w:p>
            <w:pPr>
              <w:pStyle w:val="TableContents"/>
              <w:bidi w:val="0"/>
              <w:spacing w:lineRule="auto" w:line="268" w:before="0" w:after="0"/>
              <w:ind w:left="0" w:right="0" w:hanging="360"/>
              <w:jc w:val="left"/>
              <w:rPr/>
            </w:pPr>
            <w:r>
              <w:rPr>
                <w:color w:val="000000"/>
              </w:rPr>
              <w:t>–</w:t>
            </w:r>
            <w:r>
              <w:rPr>
                <w:rFonts w:ascii="Arial;sans-serif" w:hAnsi="Arial;sans-serif"/>
                <w:b w:val="false"/>
                <w:color w:val="000000"/>
                <w:sz w:val="18"/>
              </w:rPr>
              <w:t>Weighted average price</w:t>
            </w:r>
          </w:p>
          <w:p>
            <w:pPr>
              <w:pStyle w:val="TableContents"/>
              <w:bidi w:val="0"/>
              <w:spacing w:lineRule="auto" w:line="268" w:before="0" w:after="0"/>
              <w:ind w:left="0" w:right="0" w:hanging="360"/>
              <w:jc w:val="left"/>
              <w:rPr/>
            </w:pPr>
            <w:r>
              <w:rPr>
                <w:color w:val="000000"/>
              </w:rPr>
              <w:t>–</w:t>
            </w:r>
            <w:r>
              <w:rPr>
                <w:rFonts w:ascii="Arial;sans-serif" w:hAnsi="Arial;sans-serif"/>
                <w:b w:val="false"/>
                <w:color w:val="000000"/>
                <w:sz w:val="18"/>
              </w:rPr>
              <w:t>Price</w:t>
            </w:r>
          </w:p>
        </w:tc>
        <w:tc>
          <w:tcPr>
            <w:tcW w:w="4030"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left"/>
              <w:rPr/>
            </w:pPr>
            <w:r>
              <w:rPr>
                <w:rFonts w:ascii="Arial;sans-serif" w:hAnsi="Arial;sans-serif"/>
                <w:b w:val="false"/>
                <w:sz w:val="18"/>
              </w:rPr>
              <w:br/>
              <w:br/>
              <w:br/>
            </w:r>
            <w:r>
              <w:rPr>
                <w:rFonts w:ascii="Arial;sans-serif" w:hAnsi="Arial;sans-serif"/>
                <w:b w:val="false"/>
                <w:color w:val="000000"/>
                <w:sz w:val="18"/>
              </w:rPr>
              <w:t>Aggregated Volume: 1.889300 Ordinary Shares</w:t>
              <w:br/>
            </w:r>
            <w:r>
              <w:rPr>
                <w:rFonts w:ascii="Arial;sans-serif" w:hAnsi="Arial;sans-serif"/>
                <w:b w:val="false"/>
                <w:sz w:val="18"/>
              </w:rPr>
              <w:br/>
            </w:r>
            <w:r>
              <w:rPr>
                <w:rFonts w:ascii="Arial;sans-serif" w:hAnsi="Arial;sans-serif"/>
                <w:b w:val="false"/>
                <w:color w:val="000000"/>
                <w:sz w:val="18"/>
              </w:rPr>
              <w:t>Weighted Average Price: USD $105.007100</w:t>
              <w:br/>
            </w:r>
            <w:r>
              <w:rPr>
                <w:rFonts w:ascii="Arial;sans-serif" w:hAnsi="Arial;sans-serif"/>
                <w:b w:val="false"/>
                <w:sz w:val="18"/>
              </w:rPr>
              <w:br/>
            </w:r>
            <w:r>
              <w:rPr>
                <w:rFonts w:ascii="Arial;sans-serif" w:hAnsi="Arial;sans-serif"/>
                <w:b w:val="false"/>
                <w:color w:val="000000"/>
                <w:sz w:val="18"/>
              </w:rPr>
              <w:t>Aggregated Price: USD $198.389914</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e)</w:t>
            </w:r>
          </w:p>
        </w:tc>
        <w:tc>
          <w:tcPr>
            <w:tcW w:w="21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Date of the transaction</w:t>
            </w:r>
          </w:p>
        </w:tc>
        <w:tc>
          <w:tcPr>
            <w:tcW w:w="4030"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2026-07-20</w:t>
            </w:r>
          </w:p>
        </w:tc>
      </w:tr>
      <w:tr>
        <w:trPr/>
        <w:tc>
          <w:tcPr>
            <w:tcW w:w="34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f)</w:t>
            </w:r>
          </w:p>
        </w:tc>
        <w:tc>
          <w:tcPr>
            <w:tcW w:w="217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Place of the transaction</w:t>
            </w:r>
          </w:p>
        </w:tc>
        <w:tc>
          <w:tcPr>
            <w:tcW w:w="4030"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The Nasdaq Stock Market LLC (XNAS)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drawing>
          <wp:inline distT="0" distB="0" distL="0" distR="0">
            <wp:extent cx="1343025" cy="904875"/>
            <wp:effectExtent l="0" t="0" r="0" b="0"/>
            <wp:docPr id="1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 descr=""/>
                    <pic:cNvPicPr>
                      <a:picLocks noChangeAspect="1" noChangeArrowheads="1"/>
                    </pic:cNvPicPr>
                  </pic:nvPicPr>
                  <pic:blipFill>
                    <a:blip r:embed="rId10"/>
                    <a:stretch>
                      <a:fillRect/>
                    </a:stretch>
                  </pic:blipFill>
                  <pic:spPr bwMode="auto">
                    <a:xfrm>
                      <a:off x="0" y="0"/>
                      <a:ext cx="1343025" cy="904875"/>
                    </a:xfrm>
                    <a:prstGeom prst="rect">
                      <a:avLst/>
                    </a:prstGeom>
                  </pic:spPr>
                </pic:pic>
              </a:graphicData>
            </a:graphic>
          </wp:inline>
        </w:drawing>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9"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592"/>
        <w:gridCol w:w="1591"/>
        <w:gridCol w:w="1508"/>
        <w:gridCol w:w="447"/>
        <w:gridCol w:w="447"/>
        <w:gridCol w:w="447"/>
        <w:gridCol w:w="579"/>
        <w:gridCol w:w="536"/>
        <w:gridCol w:w="331"/>
        <w:gridCol w:w="579"/>
        <w:gridCol w:w="372"/>
        <w:gridCol w:w="324"/>
        <w:gridCol w:w="324"/>
        <w:gridCol w:w="324"/>
        <w:gridCol w:w="4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1</w:t>
            </w:r>
          </w:p>
        </w:tc>
        <w:tc>
          <w:tcPr>
            <w:tcW w:w="9863" w:type="dxa"/>
            <w:gridSpan w:val="15"/>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Details of PDMR / PCA</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a)</w:t>
            </w:r>
          </w:p>
        </w:tc>
        <w:tc>
          <w:tcPr>
            <w:tcW w:w="4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5172"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Leendert den Hollander</w:t>
            </w:r>
          </w:p>
        </w:tc>
      </w:tr>
      <w:tr>
        <w:trPr/>
        <w:tc>
          <w:tcPr>
            <w:tcW w:w="34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2</w:t>
            </w:r>
          </w:p>
        </w:tc>
        <w:tc>
          <w:tcPr>
            <w:tcW w:w="9863" w:type="dxa"/>
            <w:gridSpan w:val="15"/>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Reason for notification</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a)</w:t>
            </w:r>
          </w:p>
        </w:tc>
        <w:tc>
          <w:tcPr>
            <w:tcW w:w="46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Position / status</w:t>
            </w:r>
          </w:p>
        </w:tc>
        <w:tc>
          <w:tcPr>
            <w:tcW w:w="5172" w:type="dxa"/>
            <w:gridSpan w:val="12"/>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Chief Strategy Officer</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b)</w:t>
            </w:r>
          </w:p>
        </w:tc>
        <w:tc>
          <w:tcPr>
            <w:tcW w:w="4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Initial notification / amendment</w:t>
            </w:r>
          </w:p>
        </w:tc>
        <w:tc>
          <w:tcPr>
            <w:tcW w:w="5172"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Initial Notification</w:t>
            </w:r>
          </w:p>
        </w:tc>
      </w:tr>
      <w:tr>
        <w:trPr/>
        <w:tc>
          <w:tcPr>
            <w:tcW w:w="34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3</w:t>
            </w:r>
          </w:p>
        </w:tc>
        <w:tc>
          <w:tcPr>
            <w:tcW w:w="9863" w:type="dxa"/>
            <w:gridSpan w:val="15"/>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Details of the issuer, emission allowance market participant, auction platform, auctioneer or auction monitor</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a)</w:t>
            </w:r>
          </w:p>
        </w:tc>
        <w:tc>
          <w:tcPr>
            <w:tcW w:w="46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5172" w:type="dxa"/>
            <w:gridSpan w:val="12"/>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Coca-Cola Europacific Partners plc</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b)</w:t>
            </w:r>
          </w:p>
        </w:tc>
        <w:tc>
          <w:tcPr>
            <w:tcW w:w="4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LEI</w:t>
            </w:r>
          </w:p>
        </w:tc>
        <w:tc>
          <w:tcPr>
            <w:tcW w:w="5172"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549300LTH67W4GWMRF57</w:t>
            </w:r>
          </w:p>
        </w:tc>
      </w:tr>
      <w:tr>
        <w:trPr/>
        <w:tc>
          <w:tcPr>
            <w:tcW w:w="34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4</w:t>
            </w:r>
          </w:p>
        </w:tc>
        <w:tc>
          <w:tcPr>
            <w:tcW w:w="9863" w:type="dxa"/>
            <w:gridSpan w:val="15"/>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Details of the transaction(s): section to be repeated for (i) each type of instrument; (ii) each type of transaction; (iii) each date; and (iv) each place where transactions have been conducted</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a)</w:t>
            </w:r>
          </w:p>
        </w:tc>
        <w:tc>
          <w:tcPr>
            <w:tcW w:w="46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Description of the financial instrument, type of instrument, Identification code</w:t>
            </w:r>
          </w:p>
        </w:tc>
        <w:tc>
          <w:tcPr>
            <w:tcW w:w="5172" w:type="dxa"/>
            <w:gridSpan w:val="12"/>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0"/>
              <w:jc w:val="left"/>
              <w:rPr/>
            </w:pPr>
            <w:r>
              <w:rPr>
                <w:rFonts w:ascii="Arial;sans-serif" w:hAnsi="Arial;sans-serif"/>
                <w:b w:val="false"/>
                <w:color w:val="000000"/>
                <w:sz w:val="18"/>
              </w:rPr>
              <w:t>Ordinary shares of €0.01 each in the Company (“</w:t>
            </w:r>
            <w:r>
              <w:rPr>
                <w:rFonts w:ascii="Arial;sans-serif" w:hAnsi="Arial;sans-serif"/>
                <w:b/>
                <w:color w:val="000000"/>
                <w:sz w:val="18"/>
              </w:rPr>
              <w:t>Ordinary Shares</w:t>
            </w:r>
            <w:r>
              <w:rPr>
                <w:color w:val="000000"/>
              </w:rPr>
              <w:t>”</w:t>
            </w:r>
            <w:r>
              <w:rPr>
                <w:rFonts w:ascii="Arial;sans-serif" w:hAnsi="Arial;sans-serif"/>
                <w:b w:val="false"/>
                <w:color w:val="000000"/>
                <w:sz w:val="18"/>
              </w:rPr>
              <w:t xml:space="preserve">) </w:t>
            </w:r>
          </w:p>
          <w:p>
            <w:pPr>
              <w:pStyle w:val="TableContents"/>
              <w:bidi w:val="0"/>
              <w:spacing w:before="0" w:after="0"/>
              <w:jc w:val="left"/>
              <w:rPr/>
            </w:pPr>
            <w:r>
              <w:rPr/>
            </w:r>
          </w:p>
          <w:p>
            <w:pPr>
              <w:pStyle w:val="TableContents"/>
              <w:bidi w:val="0"/>
              <w:spacing w:lineRule="auto" w:line="256" w:before="0" w:after="0"/>
              <w:jc w:val="left"/>
              <w:rPr>
                <w:rFonts w:ascii="Arial;sans-serif" w:hAnsi="Arial;sans-serif"/>
                <w:b w:val="false"/>
                <w:color w:val="000000"/>
                <w:sz w:val="18"/>
              </w:rPr>
            </w:pPr>
            <w:r>
              <w:rPr>
                <w:rFonts w:ascii="Arial;sans-serif" w:hAnsi="Arial;sans-serif"/>
                <w:b w:val="false"/>
                <w:color w:val="000000"/>
                <w:sz w:val="18"/>
              </w:rPr>
              <w:t>GB00BDCPN049</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b)</w:t>
            </w:r>
          </w:p>
        </w:tc>
        <w:tc>
          <w:tcPr>
            <w:tcW w:w="4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Nature of the transaction</w:t>
            </w:r>
          </w:p>
        </w:tc>
        <w:tc>
          <w:tcPr>
            <w:tcW w:w="5172" w:type="dxa"/>
            <w:gridSpan w:val="12"/>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Acquisition of 3.474300 Ordinary Shares pursuant to the UK Share Plan</w:t>
            </w:r>
          </w:p>
        </w:tc>
      </w:tr>
      <w:tr>
        <w:trPr/>
        <w:tc>
          <w:tcPr>
            <w:tcW w:w="342"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c)</w:t>
            </w:r>
          </w:p>
        </w:tc>
        <w:tc>
          <w:tcPr>
            <w:tcW w:w="4691" w:type="dxa"/>
            <w:gridSpan w:val="3"/>
            <w:vMerge w:val="restart"/>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Price(s) and volume(s)</w:t>
            </w:r>
          </w:p>
        </w:tc>
        <w:tc>
          <w:tcPr>
            <w:tcW w:w="134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4691"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34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Price(s)</w:t>
            </w:r>
          </w:p>
        </w:tc>
        <w:tc>
          <w:tcPr>
            <w:tcW w:w="12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Volume(s)</w:t>
            </w:r>
          </w:p>
        </w:tc>
        <w:tc>
          <w:tcPr>
            <w:tcW w:w="1110"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4691"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34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USD $105.007094</w:t>
            </w:r>
          </w:p>
        </w:tc>
        <w:tc>
          <w:tcPr>
            <w:tcW w:w="12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1.895070</w:t>
            </w:r>
          </w:p>
        </w:tc>
        <w:tc>
          <w:tcPr>
            <w:tcW w:w="1110"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4691"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34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USD $0.00</w:t>
            </w:r>
          </w:p>
        </w:tc>
        <w:tc>
          <w:tcPr>
            <w:tcW w:w="12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1.579230</w:t>
            </w:r>
          </w:p>
        </w:tc>
        <w:tc>
          <w:tcPr>
            <w:tcW w:w="1110"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4691"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341"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d)</w:t>
            </w:r>
          </w:p>
        </w:tc>
        <w:tc>
          <w:tcPr>
            <w:tcW w:w="4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Aggregated information</w:t>
            </w:r>
          </w:p>
          <w:p>
            <w:pPr>
              <w:pStyle w:val="TableContents"/>
              <w:bidi w:val="0"/>
              <w:spacing w:before="0" w:after="0"/>
              <w:jc w:val="left"/>
              <w:rPr/>
            </w:pPr>
            <w:r>
              <w:rPr/>
            </w:r>
          </w:p>
          <w:p>
            <w:pPr>
              <w:pStyle w:val="TableContents"/>
              <w:bidi w:val="0"/>
              <w:spacing w:lineRule="auto" w:line="268" w:before="0" w:after="0"/>
              <w:ind w:left="0" w:right="0" w:hanging="360"/>
              <w:jc w:val="left"/>
              <w:rPr/>
            </w:pPr>
            <w:r>
              <w:rPr>
                <w:color w:val="000000"/>
              </w:rPr>
              <w:t>–</w:t>
            </w:r>
            <w:r>
              <w:rPr>
                <w:rFonts w:ascii="Arial;sans-serif" w:hAnsi="Arial;sans-serif"/>
                <w:b w:val="false"/>
                <w:color w:val="000000"/>
                <w:sz w:val="18"/>
              </w:rPr>
              <w:t>Aggregated volume</w:t>
            </w:r>
          </w:p>
          <w:p>
            <w:pPr>
              <w:pStyle w:val="TableContents"/>
              <w:bidi w:val="0"/>
              <w:spacing w:lineRule="auto" w:line="268" w:before="0" w:after="0"/>
              <w:ind w:left="0" w:right="0" w:hanging="360"/>
              <w:jc w:val="left"/>
              <w:rPr/>
            </w:pPr>
            <w:r>
              <w:rPr>
                <w:color w:val="000000"/>
              </w:rPr>
              <w:t>–</w:t>
            </w:r>
            <w:r>
              <w:rPr>
                <w:rFonts w:ascii="Arial;sans-serif" w:hAnsi="Arial;sans-serif"/>
                <w:b w:val="false"/>
                <w:color w:val="000000"/>
                <w:sz w:val="18"/>
              </w:rPr>
              <w:t>Weighted average price</w:t>
            </w:r>
          </w:p>
          <w:p>
            <w:pPr>
              <w:pStyle w:val="TableContents"/>
              <w:bidi w:val="0"/>
              <w:spacing w:lineRule="auto" w:line="268" w:before="0" w:after="0"/>
              <w:ind w:left="0" w:right="0" w:hanging="360"/>
              <w:jc w:val="left"/>
              <w:rPr/>
            </w:pPr>
            <w:r>
              <w:rPr>
                <w:color w:val="000000"/>
              </w:rPr>
              <w:t>–</w:t>
            </w:r>
            <w:r>
              <w:rPr>
                <w:rFonts w:ascii="Arial;sans-serif" w:hAnsi="Arial;sans-serif"/>
                <w:b w:val="false"/>
                <w:color w:val="000000"/>
                <w:sz w:val="18"/>
              </w:rPr>
              <w:t>Price</w:t>
            </w:r>
          </w:p>
        </w:tc>
        <w:tc>
          <w:tcPr>
            <w:tcW w:w="5172" w:type="dxa"/>
            <w:gridSpan w:val="12"/>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68" w:before="0" w:after="283"/>
              <w:jc w:val="left"/>
              <w:rPr/>
            </w:pPr>
            <w:r>
              <w:rPr>
                <w:rFonts w:ascii="Arial;sans-serif" w:hAnsi="Arial;sans-serif"/>
                <w:b w:val="false"/>
                <w:sz w:val="18"/>
              </w:rPr>
              <w:br/>
              <w:br/>
              <w:br/>
            </w:r>
            <w:r>
              <w:rPr>
                <w:rFonts w:ascii="Arial;sans-serif" w:hAnsi="Arial;sans-serif"/>
                <w:b w:val="false"/>
                <w:color w:val="000000"/>
                <w:sz w:val="18"/>
              </w:rPr>
              <w:t>Aggregated Volume: 3.474300 Ordinary Shares</w:t>
              <w:br/>
            </w:r>
            <w:r>
              <w:rPr>
                <w:rFonts w:ascii="Arial;sans-serif" w:hAnsi="Arial;sans-serif"/>
                <w:b w:val="false"/>
                <w:sz w:val="18"/>
              </w:rPr>
              <w:br/>
            </w:r>
            <w:r>
              <w:rPr>
                <w:rFonts w:ascii="Arial;sans-serif" w:hAnsi="Arial;sans-serif"/>
                <w:b w:val="false"/>
                <w:color w:val="000000"/>
                <w:sz w:val="18"/>
              </w:rPr>
              <w:t>Weighted Average Price: USD $57.276514</w:t>
              <w:br/>
            </w:r>
            <w:r>
              <w:rPr>
                <w:rFonts w:ascii="Arial;sans-serif" w:hAnsi="Arial;sans-serif"/>
                <w:b w:val="false"/>
                <w:sz w:val="18"/>
              </w:rPr>
              <w:br/>
            </w:r>
            <w:r>
              <w:rPr>
                <w:rFonts w:ascii="Arial;sans-serif" w:hAnsi="Arial;sans-serif"/>
                <w:b w:val="false"/>
                <w:color w:val="000000"/>
                <w:sz w:val="18"/>
              </w:rPr>
              <w:t>Aggregated Price: USD $198.995793</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e)</w:t>
            </w:r>
          </w:p>
        </w:tc>
        <w:tc>
          <w:tcPr>
            <w:tcW w:w="4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Date of the transaction</w:t>
            </w:r>
          </w:p>
        </w:tc>
        <w:tc>
          <w:tcPr>
            <w:tcW w:w="5172"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7/2702/2026</w:t>
            </w:r>
          </w:p>
        </w:tc>
      </w:tr>
      <w:tr>
        <w:trPr/>
        <w:tc>
          <w:tcPr>
            <w:tcW w:w="34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f)</w:t>
            </w:r>
          </w:p>
        </w:tc>
        <w:tc>
          <w:tcPr>
            <w:tcW w:w="46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Place of the transaction</w:t>
            </w:r>
          </w:p>
        </w:tc>
        <w:tc>
          <w:tcPr>
            <w:tcW w:w="5172"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The Nasdaq Stock Market LLC (XNAS)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drawing>
          <wp:inline distT="0" distB="0" distL="0" distR="0">
            <wp:extent cx="1343025" cy="904875"/>
            <wp:effectExtent l="0" t="0" r="0" b="0"/>
            <wp:docPr id="2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 descr=""/>
                    <pic:cNvPicPr>
                      <a:picLocks noChangeAspect="1" noChangeArrowheads="1"/>
                    </pic:cNvPicPr>
                  </pic:nvPicPr>
                  <pic:blipFill>
                    <a:blip r:embed="rId11"/>
                    <a:stretch>
                      <a:fillRect/>
                    </a:stretch>
                  </pic:blipFill>
                  <pic:spPr bwMode="auto">
                    <a:xfrm>
                      <a:off x="0" y="0"/>
                      <a:ext cx="1343025" cy="904875"/>
                    </a:xfrm>
                    <a:prstGeom prst="rect">
                      <a:avLst/>
                    </a:prstGeom>
                  </pic:spPr>
                </pic:pic>
              </a:graphicData>
            </a:graphic>
          </wp:inline>
        </w:drawing>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159"/>
        <w:gridCol w:w="1159"/>
        <w:gridCol w:w="1062"/>
        <w:gridCol w:w="609"/>
        <w:gridCol w:w="609"/>
        <w:gridCol w:w="609"/>
        <w:gridCol w:w="799"/>
        <w:gridCol w:w="512"/>
        <w:gridCol w:w="408"/>
        <w:gridCol w:w="724"/>
        <w:gridCol w:w="408"/>
        <w:gridCol w:w="408"/>
        <w:gridCol w:w="408"/>
        <w:gridCol w:w="408"/>
        <w:gridCol w:w="58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1</w:t>
            </w:r>
          </w:p>
        </w:tc>
        <w:tc>
          <w:tcPr>
            <w:tcW w:w="9863" w:type="dxa"/>
            <w:gridSpan w:val="15"/>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Details of PDMR / PCA</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a)</w:t>
            </w:r>
          </w:p>
        </w:tc>
        <w:tc>
          <w:tcPr>
            <w:tcW w:w="33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6483"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Stephen Moorhouse</w:t>
            </w:r>
          </w:p>
        </w:tc>
      </w:tr>
      <w:tr>
        <w:trPr/>
        <w:tc>
          <w:tcPr>
            <w:tcW w:w="34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2</w:t>
            </w:r>
          </w:p>
        </w:tc>
        <w:tc>
          <w:tcPr>
            <w:tcW w:w="9863" w:type="dxa"/>
            <w:gridSpan w:val="15"/>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Reason for notification</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a)</w:t>
            </w:r>
          </w:p>
        </w:tc>
        <w:tc>
          <w:tcPr>
            <w:tcW w:w="33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Position / status</w:t>
            </w:r>
          </w:p>
        </w:tc>
        <w:tc>
          <w:tcPr>
            <w:tcW w:w="6483" w:type="dxa"/>
            <w:gridSpan w:val="12"/>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Chief Customer Service and Supply Chain Officer</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b)</w:t>
            </w:r>
          </w:p>
        </w:tc>
        <w:tc>
          <w:tcPr>
            <w:tcW w:w="33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Initial notification / amendment</w:t>
            </w:r>
          </w:p>
        </w:tc>
        <w:tc>
          <w:tcPr>
            <w:tcW w:w="6483"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Initial Notification</w:t>
            </w:r>
          </w:p>
        </w:tc>
      </w:tr>
      <w:tr>
        <w:trPr/>
        <w:tc>
          <w:tcPr>
            <w:tcW w:w="34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3</w:t>
            </w:r>
          </w:p>
        </w:tc>
        <w:tc>
          <w:tcPr>
            <w:tcW w:w="9863" w:type="dxa"/>
            <w:gridSpan w:val="15"/>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Details of the issuer, emission allowance market participant, auction platform, auctioneer or auction monitor</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a)</w:t>
            </w:r>
          </w:p>
        </w:tc>
        <w:tc>
          <w:tcPr>
            <w:tcW w:w="33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6483" w:type="dxa"/>
            <w:gridSpan w:val="12"/>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Coca-Cola Europacific Partners plc</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b)</w:t>
            </w:r>
          </w:p>
        </w:tc>
        <w:tc>
          <w:tcPr>
            <w:tcW w:w="33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LEI</w:t>
            </w:r>
          </w:p>
        </w:tc>
        <w:tc>
          <w:tcPr>
            <w:tcW w:w="6483"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549300LTH67W4GWMRF57</w:t>
            </w:r>
          </w:p>
        </w:tc>
      </w:tr>
      <w:tr>
        <w:trPr/>
        <w:tc>
          <w:tcPr>
            <w:tcW w:w="34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4</w:t>
            </w:r>
          </w:p>
        </w:tc>
        <w:tc>
          <w:tcPr>
            <w:tcW w:w="9863" w:type="dxa"/>
            <w:gridSpan w:val="15"/>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Details of the transaction(s): section to be repeated for (i) each type of instrument; (ii) each type of transaction; (iii) each date; and (iv) each place where transactions have been conducted</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a)</w:t>
            </w:r>
          </w:p>
        </w:tc>
        <w:tc>
          <w:tcPr>
            <w:tcW w:w="33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Description of the financial instrument, type of instrument, Identification code</w:t>
            </w:r>
          </w:p>
        </w:tc>
        <w:tc>
          <w:tcPr>
            <w:tcW w:w="6483" w:type="dxa"/>
            <w:gridSpan w:val="12"/>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0"/>
              <w:jc w:val="left"/>
              <w:rPr/>
            </w:pPr>
            <w:r>
              <w:rPr>
                <w:rFonts w:ascii="Arial;sans-serif" w:hAnsi="Arial;sans-serif"/>
                <w:b w:val="false"/>
                <w:color w:val="000000"/>
                <w:sz w:val="18"/>
              </w:rPr>
              <w:t>Ordinary shares of €0.01 each in the Company (“</w:t>
            </w:r>
            <w:r>
              <w:rPr>
                <w:rFonts w:ascii="Arial;sans-serif" w:hAnsi="Arial;sans-serif"/>
                <w:b/>
                <w:color w:val="000000"/>
                <w:sz w:val="18"/>
              </w:rPr>
              <w:t>Ordinary Shares</w:t>
            </w:r>
            <w:r>
              <w:rPr>
                <w:color w:val="000000"/>
              </w:rPr>
              <w:t>”</w:t>
            </w:r>
            <w:r>
              <w:rPr>
                <w:rFonts w:ascii="Arial;sans-serif" w:hAnsi="Arial;sans-serif"/>
                <w:b w:val="false"/>
                <w:color w:val="000000"/>
                <w:sz w:val="18"/>
              </w:rPr>
              <w:t xml:space="preserve">) </w:t>
            </w:r>
          </w:p>
          <w:p>
            <w:pPr>
              <w:pStyle w:val="TableContents"/>
              <w:bidi w:val="0"/>
              <w:spacing w:before="0" w:after="0"/>
              <w:jc w:val="left"/>
              <w:rPr/>
            </w:pPr>
            <w:r>
              <w:rPr/>
            </w:r>
          </w:p>
          <w:p>
            <w:pPr>
              <w:pStyle w:val="TableContents"/>
              <w:bidi w:val="0"/>
              <w:spacing w:lineRule="auto" w:line="256" w:before="0" w:after="0"/>
              <w:jc w:val="left"/>
              <w:rPr>
                <w:rFonts w:ascii="Arial;sans-serif" w:hAnsi="Arial;sans-serif"/>
                <w:b w:val="false"/>
                <w:color w:val="000000"/>
                <w:sz w:val="18"/>
              </w:rPr>
            </w:pPr>
            <w:r>
              <w:rPr>
                <w:rFonts w:ascii="Arial;sans-serif" w:hAnsi="Arial;sans-serif"/>
                <w:b w:val="false"/>
                <w:color w:val="000000"/>
                <w:sz w:val="18"/>
              </w:rPr>
              <w:t>GB00BDCPN049</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b)</w:t>
            </w:r>
          </w:p>
        </w:tc>
        <w:tc>
          <w:tcPr>
            <w:tcW w:w="33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Nature of the transaction</w:t>
            </w:r>
          </w:p>
        </w:tc>
        <w:tc>
          <w:tcPr>
            <w:tcW w:w="6483" w:type="dxa"/>
            <w:gridSpan w:val="12"/>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Acquisition of 3.474300 Ordinary Shares pursuant to the UK Share Plan</w:t>
            </w:r>
          </w:p>
        </w:tc>
      </w:tr>
      <w:tr>
        <w:trPr/>
        <w:tc>
          <w:tcPr>
            <w:tcW w:w="342"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c)</w:t>
            </w:r>
          </w:p>
        </w:tc>
        <w:tc>
          <w:tcPr>
            <w:tcW w:w="3380" w:type="dxa"/>
            <w:gridSpan w:val="3"/>
            <w:vMerge w:val="restart"/>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Price(s) and volume(s)</w:t>
            </w:r>
          </w:p>
        </w:tc>
        <w:tc>
          <w:tcPr>
            <w:tcW w:w="18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3380"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8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Price(s)</w:t>
            </w:r>
          </w:p>
        </w:tc>
        <w:tc>
          <w:tcPr>
            <w:tcW w:w="15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Volume(s)</w:t>
            </w:r>
          </w:p>
        </w:tc>
        <w:tc>
          <w:tcPr>
            <w:tcW w:w="139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3380"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8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USD $105.007094</w:t>
            </w:r>
          </w:p>
        </w:tc>
        <w:tc>
          <w:tcPr>
            <w:tcW w:w="15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1.895070</w:t>
            </w:r>
          </w:p>
        </w:tc>
        <w:tc>
          <w:tcPr>
            <w:tcW w:w="139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3380"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8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USD $0.00</w:t>
            </w:r>
          </w:p>
        </w:tc>
        <w:tc>
          <w:tcPr>
            <w:tcW w:w="15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1.579230</w:t>
            </w:r>
          </w:p>
        </w:tc>
        <w:tc>
          <w:tcPr>
            <w:tcW w:w="139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3380"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827"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d)</w:t>
            </w:r>
          </w:p>
        </w:tc>
        <w:tc>
          <w:tcPr>
            <w:tcW w:w="33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Aggregated information</w:t>
            </w:r>
          </w:p>
          <w:p>
            <w:pPr>
              <w:pStyle w:val="TableContents"/>
              <w:bidi w:val="0"/>
              <w:spacing w:before="0" w:after="0"/>
              <w:jc w:val="left"/>
              <w:rPr/>
            </w:pPr>
            <w:r>
              <w:rPr/>
            </w:r>
          </w:p>
          <w:p>
            <w:pPr>
              <w:pStyle w:val="TableContents"/>
              <w:bidi w:val="0"/>
              <w:spacing w:lineRule="auto" w:line="268" w:before="0" w:after="0"/>
              <w:ind w:left="0" w:right="0" w:hanging="360"/>
              <w:jc w:val="left"/>
              <w:rPr/>
            </w:pPr>
            <w:r>
              <w:rPr>
                <w:color w:val="000000"/>
              </w:rPr>
              <w:t>–</w:t>
            </w:r>
            <w:r>
              <w:rPr>
                <w:rFonts w:ascii="Arial;sans-serif" w:hAnsi="Arial;sans-serif"/>
                <w:b w:val="false"/>
                <w:color w:val="000000"/>
                <w:sz w:val="18"/>
              </w:rPr>
              <w:t>Aggregated volume</w:t>
            </w:r>
          </w:p>
          <w:p>
            <w:pPr>
              <w:pStyle w:val="TableContents"/>
              <w:bidi w:val="0"/>
              <w:spacing w:lineRule="auto" w:line="268" w:before="0" w:after="0"/>
              <w:ind w:left="0" w:right="0" w:hanging="360"/>
              <w:jc w:val="left"/>
              <w:rPr/>
            </w:pPr>
            <w:r>
              <w:rPr>
                <w:color w:val="000000"/>
              </w:rPr>
              <w:t>–</w:t>
            </w:r>
            <w:r>
              <w:rPr>
                <w:rFonts w:ascii="Arial;sans-serif" w:hAnsi="Arial;sans-serif"/>
                <w:b w:val="false"/>
                <w:color w:val="000000"/>
                <w:sz w:val="18"/>
              </w:rPr>
              <w:t>Weighted average price</w:t>
            </w:r>
          </w:p>
          <w:p>
            <w:pPr>
              <w:pStyle w:val="TableContents"/>
              <w:bidi w:val="0"/>
              <w:spacing w:lineRule="auto" w:line="268" w:before="0" w:after="0"/>
              <w:ind w:left="0" w:right="0" w:hanging="360"/>
              <w:jc w:val="left"/>
              <w:rPr/>
            </w:pPr>
            <w:r>
              <w:rPr>
                <w:color w:val="000000"/>
              </w:rPr>
              <w:t>–</w:t>
            </w:r>
            <w:r>
              <w:rPr>
                <w:rFonts w:ascii="Arial;sans-serif" w:hAnsi="Arial;sans-serif"/>
                <w:b w:val="false"/>
                <w:color w:val="000000"/>
                <w:sz w:val="18"/>
              </w:rPr>
              <w:t>Price</w:t>
            </w:r>
          </w:p>
        </w:tc>
        <w:tc>
          <w:tcPr>
            <w:tcW w:w="6483" w:type="dxa"/>
            <w:gridSpan w:val="12"/>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68" w:before="0" w:after="283"/>
              <w:jc w:val="left"/>
              <w:rPr/>
            </w:pPr>
            <w:r>
              <w:rPr>
                <w:rFonts w:ascii="Arial;sans-serif" w:hAnsi="Arial;sans-serif"/>
                <w:b w:val="false"/>
                <w:sz w:val="18"/>
              </w:rPr>
              <w:br/>
              <w:br/>
              <w:br/>
            </w:r>
            <w:r>
              <w:rPr>
                <w:rFonts w:ascii="Arial;sans-serif" w:hAnsi="Arial;sans-serif"/>
                <w:b w:val="false"/>
                <w:color w:val="000000"/>
                <w:sz w:val="18"/>
              </w:rPr>
              <w:t>Aggregated Volume: 3.474300 Ordinary Shares</w:t>
              <w:br/>
            </w:r>
            <w:r>
              <w:rPr>
                <w:rFonts w:ascii="Arial;sans-serif" w:hAnsi="Arial;sans-serif"/>
                <w:b w:val="false"/>
                <w:sz w:val="18"/>
              </w:rPr>
              <w:br/>
            </w:r>
            <w:r>
              <w:rPr>
                <w:rFonts w:ascii="Arial;sans-serif" w:hAnsi="Arial;sans-serif"/>
                <w:b w:val="false"/>
                <w:color w:val="000000"/>
                <w:sz w:val="18"/>
              </w:rPr>
              <w:t>Weighted Average Price: USD $57.276514</w:t>
              <w:br/>
            </w:r>
            <w:r>
              <w:rPr>
                <w:rFonts w:ascii="Arial;sans-serif" w:hAnsi="Arial;sans-serif"/>
                <w:b w:val="false"/>
                <w:sz w:val="18"/>
              </w:rPr>
              <w:br/>
            </w:r>
            <w:r>
              <w:rPr>
                <w:rFonts w:ascii="Arial;sans-serif" w:hAnsi="Arial;sans-serif"/>
                <w:b w:val="false"/>
                <w:color w:val="000000"/>
                <w:sz w:val="18"/>
              </w:rPr>
              <w:t>Aggregated Price: USD $198.995793</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e)</w:t>
            </w:r>
          </w:p>
        </w:tc>
        <w:tc>
          <w:tcPr>
            <w:tcW w:w="33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Date of the transaction</w:t>
            </w:r>
          </w:p>
        </w:tc>
        <w:tc>
          <w:tcPr>
            <w:tcW w:w="6483"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2026-07-20</w:t>
            </w:r>
          </w:p>
        </w:tc>
      </w:tr>
      <w:tr>
        <w:trPr/>
        <w:tc>
          <w:tcPr>
            <w:tcW w:w="34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f)</w:t>
            </w:r>
          </w:p>
        </w:tc>
        <w:tc>
          <w:tcPr>
            <w:tcW w:w="338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Place of the transaction</w:t>
            </w:r>
          </w:p>
        </w:tc>
        <w:tc>
          <w:tcPr>
            <w:tcW w:w="6483"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The Nasdaq Stock Market LLC (XNAS)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drawing>
          <wp:inline distT="0" distB="0" distL="0" distR="0">
            <wp:extent cx="1343025" cy="904875"/>
            <wp:effectExtent l="0" t="0" r="0" b="0"/>
            <wp:docPr id="2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 descr=""/>
                    <pic:cNvPicPr>
                      <a:picLocks noChangeAspect="1" noChangeArrowheads="1"/>
                    </pic:cNvPicPr>
                  </pic:nvPicPr>
                  <pic:blipFill>
                    <a:blip r:embed="rId12"/>
                    <a:stretch>
                      <a:fillRect/>
                    </a:stretch>
                  </pic:blipFill>
                  <pic:spPr bwMode="auto">
                    <a:xfrm>
                      <a:off x="0" y="0"/>
                      <a:ext cx="1343025" cy="904875"/>
                    </a:xfrm>
                    <a:prstGeom prst="rect">
                      <a:avLst/>
                    </a:prstGeom>
                  </pic:spPr>
                </pic:pic>
              </a:graphicData>
            </a:graphic>
          </wp:inline>
        </w:drawing>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15"/>
        <w:gridCol w:w="1014"/>
        <w:gridCol w:w="888"/>
        <w:gridCol w:w="681"/>
        <w:gridCol w:w="681"/>
        <w:gridCol w:w="681"/>
        <w:gridCol w:w="640"/>
        <w:gridCol w:w="459"/>
        <w:gridCol w:w="459"/>
        <w:gridCol w:w="848"/>
        <w:gridCol w:w="459"/>
        <w:gridCol w:w="459"/>
        <w:gridCol w:w="459"/>
        <w:gridCol w:w="459"/>
        <w:gridCol w:w="6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1</w:t>
            </w:r>
          </w:p>
        </w:tc>
        <w:tc>
          <w:tcPr>
            <w:tcW w:w="9863" w:type="dxa"/>
            <w:gridSpan w:val="15"/>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Details of PDMR / PCA</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a)</w:t>
            </w:r>
          </w:p>
        </w:tc>
        <w:tc>
          <w:tcPr>
            <w:tcW w:w="29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6946"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Ana Callol</w:t>
            </w:r>
          </w:p>
        </w:tc>
      </w:tr>
      <w:tr>
        <w:trPr/>
        <w:tc>
          <w:tcPr>
            <w:tcW w:w="34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2</w:t>
            </w:r>
          </w:p>
        </w:tc>
        <w:tc>
          <w:tcPr>
            <w:tcW w:w="9863" w:type="dxa"/>
            <w:gridSpan w:val="15"/>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Reason for notification</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a)</w:t>
            </w:r>
          </w:p>
        </w:tc>
        <w:tc>
          <w:tcPr>
            <w:tcW w:w="29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Position / status</w:t>
            </w:r>
          </w:p>
        </w:tc>
        <w:tc>
          <w:tcPr>
            <w:tcW w:w="6946" w:type="dxa"/>
            <w:gridSpan w:val="12"/>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General Manager, Iberian Business Unit</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b)</w:t>
            </w:r>
          </w:p>
        </w:tc>
        <w:tc>
          <w:tcPr>
            <w:tcW w:w="29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Initial notification / amendment</w:t>
            </w:r>
          </w:p>
        </w:tc>
        <w:tc>
          <w:tcPr>
            <w:tcW w:w="6946"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Initial Notification</w:t>
            </w:r>
          </w:p>
        </w:tc>
      </w:tr>
      <w:tr>
        <w:trPr/>
        <w:tc>
          <w:tcPr>
            <w:tcW w:w="34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3</w:t>
            </w:r>
          </w:p>
        </w:tc>
        <w:tc>
          <w:tcPr>
            <w:tcW w:w="9863" w:type="dxa"/>
            <w:gridSpan w:val="15"/>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Details of the issuer, emission allowance market participant, auction platform, auctioneer or auction monitor</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a)</w:t>
            </w:r>
          </w:p>
        </w:tc>
        <w:tc>
          <w:tcPr>
            <w:tcW w:w="29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6946" w:type="dxa"/>
            <w:gridSpan w:val="12"/>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Coca-Cola Europacific Partners plc</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b)</w:t>
            </w:r>
          </w:p>
        </w:tc>
        <w:tc>
          <w:tcPr>
            <w:tcW w:w="29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LEI</w:t>
            </w:r>
          </w:p>
        </w:tc>
        <w:tc>
          <w:tcPr>
            <w:tcW w:w="6946"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549300LTH67W4GWMRF57</w:t>
            </w:r>
          </w:p>
        </w:tc>
      </w:tr>
      <w:tr>
        <w:trPr/>
        <w:tc>
          <w:tcPr>
            <w:tcW w:w="34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4</w:t>
            </w:r>
          </w:p>
        </w:tc>
        <w:tc>
          <w:tcPr>
            <w:tcW w:w="9863" w:type="dxa"/>
            <w:gridSpan w:val="15"/>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Details of the transaction(s): section to be repeated for (i) each type of instrument; (ii) each type of transaction; (iii) each date; and (iv) each place where transactions have been conducted</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a)</w:t>
            </w:r>
          </w:p>
        </w:tc>
        <w:tc>
          <w:tcPr>
            <w:tcW w:w="29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Description of the financial instrument, type of instrument, Identification code</w:t>
            </w:r>
          </w:p>
        </w:tc>
        <w:tc>
          <w:tcPr>
            <w:tcW w:w="6946" w:type="dxa"/>
            <w:gridSpan w:val="12"/>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0"/>
              <w:jc w:val="left"/>
              <w:rPr/>
            </w:pPr>
            <w:r>
              <w:rPr>
                <w:rFonts w:ascii="Arial;sans-serif" w:hAnsi="Arial;sans-serif"/>
                <w:b w:val="false"/>
                <w:color w:val="000000"/>
                <w:sz w:val="18"/>
              </w:rPr>
              <w:t>Ordinary shares of €0.01 each in the Company (“</w:t>
            </w:r>
            <w:r>
              <w:rPr>
                <w:rFonts w:ascii="Arial;sans-serif" w:hAnsi="Arial;sans-serif"/>
                <w:b/>
                <w:color w:val="000000"/>
                <w:sz w:val="18"/>
              </w:rPr>
              <w:t>Ordinary Shares</w:t>
            </w:r>
            <w:r>
              <w:rPr>
                <w:color w:val="000000"/>
              </w:rPr>
              <w:t>”</w:t>
            </w:r>
            <w:r>
              <w:rPr>
                <w:rFonts w:ascii="Arial;sans-serif" w:hAnsi="Arial;sans-serif"/>
                <w:b w:val="false"/>
                <w:color w:val="000000"/>
                <w:sz w:val="18"/>
              </w:rPr>
              <w:t xml:space="preserve">) </w:t>
            </w:r>
          </w:p>
          <w:p>
            <w:pPr>
              <w:pStyle w:val="TableContents"/>
              <w:bidi w:val="0"/>
              <w:spacing w:before="0" w:after="0"/>
              <w:jc w:val="left"/>
              <w:rPr/>
            </w:pPr>
            <w:r>
              <w:rPr/>
            </w:r>
          </w:p>
          <w:p>
            <w:pPr>
              <w:pStyle w:val="TableContents"/>
              <w:bidi w:val="0"/>
              <w:spacing w:lineRule="auto" w:line="256" w:before="0" w:after="0"/>
              <w:jc w:val="left"/>
              <w:rPr>
                <w:rFonts w:ascii="Arial;sans-serif" w:hAnsi="Arial;sans-serif"/>
                <w:b w:val="false"/>
                <w:color w:val="000000"/>
                <w:sz w:val="18"/>
              </w:rPr>
            </w:pPr>
            <w:r>
              <w:rPr>
                <w:rFonts w:ascii="Arial;sans-serif" w:hAnsi="Arial;sans-serif"/>
                <w:b w:val="false"/>
                <w:color w:val="000000"/>
                <w:sz w:val="18"/>
              </w:rPr>
              <w:t>GB00BDCPN049</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b)</w:t>
            </w:r>
          </w:p>
        </w:tc>
        <w:tc>
          <w:tcPr>
            <w:tcW w:w="291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Nature of the transaction</w:t>
            </w:r>
          </w:p>
        </w:tc>
        <w:tc>
          <w:tcPr>
            <w:tcW w:w="6946" w:type="dxa"/>
            <w:gridSpan w:val="12"/>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Acquisition of 3.603480 Ordinary Shares from the Employee Benefit Trust (EBT) following the vesting of matching share awards granted pursuant to the Employee Share Purchase Plan (ESPP)</w:t>
            </w:r>
          </w:p>
        </w:tc>
      </w:tr>
      <w:tr>
        <w:trPr/>
        <w:tc>
          <w:tcPr>
            <w:tcW w:w="342"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c)</w:t>
            </w:r>
          </w:p>
        </w:tc>
        <w:tc>
          <w:tcPr>
            <w:tcW w:w="2917" w:type="dxa"/>
            <w:gridSpan w:val="3"/>
            <w:vMerge w:val="restart"/>
            <w:tcBorders>
              <w:left w:val="single" w:sz="8" w:space="0" w:color="000000"/>
            </w:tcBorders>
            <w:tcMar>
              <w:top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Price(s) and volume(s)</w:t>
            </w:r>
          </w:p>
        </w:tc>
        <w:tc>
          <w:tcPr>
            <w:tcW w:w="204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2917"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204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Price(s)</w:t>
            </w:r>
          </w:p>
        </w:tc>
        <w:tc>
          <w:tcPr>
            <w:tcW w:w="17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Volume(s)</w:t>
            </w:r>
          </w:p>
        </w:tc>
        <w:tc>
          <w:tcPr>
            <w:tcW w:w="1579"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2917"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204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USD $0.00</w:t>
            </w:r>
          </w:p>
        </w:tc>
        <w:tc>
          <w:tcPr>
            <w:tcW w:w="17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3.603480</w:t>
            </w:r>
          </w:p>
        </w:tc>
        <w:tc>
          <w:tcPr>
            <w:tcW w:w="1579"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2917"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2043"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d)</w:t>
            </w:r>
          </w:p>
        </w:tc>
        <w:tc>
          <w:tcPr>
            <w:tcW w:w="29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Aggregated information</w:t>
            </w:r>
          </w:p>
          <w:p>
            <w:pPr>
              <w:pStyle w:val="TableContents"/>
              <w:bidi w:val="0"/>
              <w:spacing w:before="0" w:after="0"/>
              <w:jc w:val="left"/>
              <w:rPr/>
            </w:pPr>
            <w:r>
              <w:rPr/>
            </w:r>
          </w:p>
          <w:p>
            <w:pPr>
              <w:pStyle w:val="TableContents"/>
              <w:bidi w:val="0"/>
              <w:spacing w:lineRule="auto" w:line="268" w:before="0" w:after="0"/>
              <w:ind w:left="0" w:right="0" w:hanging="360"/>
              <w:jc w:val="left"/>
              <w:rPr/>
            </w:pPr>
            <w:r>
              <w:rPr>
                <w:color w:val="000000"/>
              </w:rPr>
              <w:t>–</w:t>
            </w:r>
            <w:r>
              <w:rPr>
                <w:rFonts w:ascii="Arial;sans-serif" w:hAnsi="Arial;sans-serif"/>
                <w:b w:val="false"/>
                <w:color w:val="000000"/>
                <w:sz w:val="18"/>
              </w:rPr>
              <w:t>Aggregated volume</w:t>
            </w:r>
          </w:p>
          <w:p>
            <w:pPr>
              <w:pStyle w:val="TableContents"/>
              <w:bidi w:val="0"/>
              <w:spacing w:lineRule="auto" w:line="268" w:before="0" w:after="0"/>
              <w:ind w:left="0" w:right="0" w:hanging="360"/>
              <w:jc w:val="left"/>
              <w:rPr/>
            </w:pPr>
            <w:r>
              <w:rPr>
                <w:color w:val="000000"/>
              </w:rPr>
              <w:t>–</w:t>
            </w:r>
            <w:r>
              <w:rPr>
                <w:rFonts w:ascii="Arial;sans-serif" w:hAnsi="Arial;sans-serif"/>
                <w:b w:val="false"/>
                <w:color w:val="000000"/>
                <w:sz w:val="18"/>
              </w:rPr>
              <w:t>Weighted average price</w:t>
            </w:r>
          </w:p>
          <w:p>
            <w:pPr>
              <w:pStyle w:val="TableContents"/>
              <w:bidi w:val="0"/>
              <w:spacing w:lineRule="auto" w:line="268" w:before="0" w:after="0"/>
              <w:ind w:left="0" w:right="0" w:hanging="360"/>
              <w:jc w:val="left"/>
              <w:rPr/>
            </w:pPr>
            <w:r>
              <w:rPr>
                <w:color w:val="000000"/>
              </w:rPr>
              <w:t>–</w:t>
            </w:r>
            <w:r>
              <w:rPr>
                <w:rFonts w:ascii="Arial;sans-serif" w:hAnsi="Arial;sans-serif"/>
                <w:b w:val="false"/>
                <w:color w:val="000000"/>
                <w:sz w:val="18"/>
              </w:rPr>
              <w:t>Price</w:t>
            </w:r>
          </w:p>
        </w:tc>
        <w:tc>
          <w:tcPr>
            <w:tcW w:w="6946" w:type="dxa"/>
            <w:gridSpan w:val="12"/>
            <w:tcBorders>
              <w:bottom w:val="single" w:sz="8" w:space="0" w:color="000000"/>
              <w:right w:val="single" w:sz="8" w:space="0" w:color="000000"/>
            </w:tcBorders>
            <w:tcMar>
              <w:top w:w="0" w:type="dxa"/>
              <w:left w:w="0" w:type="dxa"/>
              <w:bottom w:w="30" w:type="dxa"/>
            </w:tcMar>
            <w:vAlign w:val="center"/>
          </w:tcPr>
          <w:p>
            <w:pPr>
              <w:pStyle w:val="TableContents"/>
              <w:bidi w:val="0"/>
              <w:spacing w:lineRule="auto" w:line="268" w:before="0" w:after="283"/>
              <w:jc w:val="left"/>
              <w:rPr/>
            </w:pPr>
            <w:r>
              <w:rPr>
                <w:rFonts w:ascii="Arial;sans-serif" w:hAnsi="Arial;sans-serif"/>
                <w:b w:val="false"/>
                <w:sz w:val="18"/>
              </w:rPr>
              <w:br/>
              <w:br/>
              <w:br/>
            </w:r>
            <w:r>
              <w:rPr>
                <w:rFonts w:ascii="Arial;sans-serif" w:hAnsi="Arial;sans-serif"/>
                <w:b w:val="false"/>
                <w:color w:val="000000"/>
                <w:sz w:val="18"/>
              </w:rPr>
              <w:t>Aggregated Volume: 3.603480 Ordinary Shares</w:t>
              <w:br/>
            </w:r>
            <w:r>
              <w:rPr>
                <w:rFonts w:ascii="Arial;sans-serif" w:hAnsi="Arial;sans-serif"/>
                <w:b w:val="false"/>
                <w:sz w:val="18"/>
              </w:rPr>
              <w:br/>
            </w:r>
            <w:r>
              <w:rPr>
                <w:rFonts w:ascii="Arial;sans-serif" w:hAnsi="Arial;sans-serif"/>
                <w:b w:val="false"/>
                <w:color w:val="000000"/>
                <w:sz w:val="18"/>
              </w:rPr>
              <w:t>Weighted Average Price: USD $0</w:t>
              <w:br/>
            </w:r>
            <w:r>
              <w:rPr>
                <w:rFonts w:ascii="Arial;sans-serif" w:hAnsi="Arial;sans-serif"/>
                <w:b w:val="false"/>
                <w:sz w:val="18"/>
              </w:rPr>
              <w:br/>
            </w:r>
            <w:r>
              <w:rPr>
                <w:rFonts w:ascii="Arial;sans-serif" w:hAnsi="Arial;sans-serif"/>
                <w:b w:val="false"/>
                <w:color w:val="000000"/>
                <w:sz w:val="18"/>
              </w:rPr>
              <w:t>Aggregated Price: USD $0</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e)</w:t>
            </w:r>
          </w:p>
        </w:tc>
        <w:tc>
          <w:tcPr>
            <w:tcW w:w="29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Date of the transaction</w:t>
            </w:r>
          </w:p>
        </w:tc>
        <w:tc>
          <w:tcPr>
            <w:tcW w:w="6946" w:type="dxa"/>
            <w:gridSpan w:val="12"/>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2026-07-22</w:t>
            </w:r>
          </w:p>
        </w:tc>
      </w:tr>
      <w:tr>
        <w:trPr/>
        <w:tc>
          <w:tcPr>
            <w:tcW w:w="34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f)</w:t>
            </w:r>
          </w:p>
        </w:tc>
        <w:tc>
          <w:tcPr>
            <w:tcW w:w="291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Place of the transaction</w:t>
            </w:r>
          </w:p>
        </w:tc>
        <w:tc>
          <w:tcPr>
            <w:tcW w:w="6946"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Outside of trading venue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drawing>
          <wp:inline distT="0" distB="0" distL="0" distR="0">
            <wp:extent cx="1343025" cy="904875"/>
            <wp:effectExtent l="0" t="0" r="0" b="0"/>
            <wp:docPr id="2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 descr=""/>
                    <pic:cNvPicPr>
                      <a:picLocks noChangeAspect="1" noChangeArrowheads="1"/>
                    </pic:cNvPicPr>
                  </pic:nvPicPr>
                  <pic:blipFill>
                    <a:blip r:embed="rId13"/>
                    <a:stretch>
                      <a:fillRect/>
                    </a:stretch>
                  </pic:blipFill>
                  <pic:spPr bwMode="auto">
                    <a:xfrm>
                      <a:off x="0" y="0"/>
                      <a:ext cx="1343025" cy="904875"/>
                    </a:xfrm>
                    <a:prstGeom prst="rect">
                      <a:avLst/>
                    </a:prstGeom>
                  </pic:spPr>
                </pic:pic>
              </a:graphicData>
            </a:graphic>
          </wp:inline>
        </w:drawing>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955"/>
        <w:gridCol w:w="954"/>
        <w:gridCol w:w="828"/>
        <w:gridCol w:w="736"/>
        <w:gridCol w:w="736"/>
        <w:gridCol w:w="718"/>
        <w:gridCol w:w="643"/>
        <w:gridCol w:w="464"/>
        <w:gridCol w:w="464"/>
        <w:gridCol w:w="851"/>
        <w:gridCol w:w="464"/>
        <w:gridCol w:w="464"/>
        <w:gridCol w:w="464"/>
        <w:gridCol w:w="464"/>
        <w:gridCol w:w="6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1</w:t>
            </w:r>
          </w:p>
        </w:tc>
        <w:tc>
          <w:tcPr>
            <w:tcW w:w="9863" w:type="dxa"/>
            <w:gridSpan w:val="15"/>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Details of PDMR / PCA</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a)</w:t>
            </w:r>
          </w:p>
        </w:tc>
        <w:tc>
          <w:tcPr>
            <w:tcW w:w="27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7126"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Jose Antonio Echeverria</w:t>
            </w:r>
          </w:p>
        </w:tc>
      </w:tr>
      <w:tr>
        <w:trPr/>
        <w:tc>
          <w:tcPr>
            <w:tcW w:w="34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2</w:t>
            </w:r>
          </w:p>
        </w:tc>
        <w:tc>
          <w:tcPr>
            <w:tcW w:w="9863" w:type="dxa"/>
            <w:gridSpan w:val="15"/>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Reason for notification</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a)</w:t>
            </w:r>
          </w:p>
        </w:tc>
        <w:tc>
          <w:tcPr>
            <w:tcW w:w="273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Position / status</w:t>
            </w:r>
          </w:p>
        </w:tc>
        <w:tc>
          <w:tcPr>
            <w:tcW w:w="7126" w:type="dxa"/>
            <w:gridSpan w:val="12"/>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General Manager, France and Northern Europe Business Unit</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b)</w:t>
            </w:r>
          </w:p>
        </w:tc>
        <w:tc>
          <w:tcPr>
            <w:tcW w:w="27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Initial notification / amendment</w:t>
            </w:r>
          </w:p>
        </w:tc>
        <w:tc>
          <w:tcPr>
            <w:tcW w:w="7126"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Initial Notification</w:t>
            </w:r>
          </w:p>
        </w:tc>
      </w:tr>
      <w:tr>
        <w:trPr/>
        <w:tc>
          <w:tcPr>
            <w:tcW w:w="34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3</w:t>
            </w:r>
          </w:p>
        </w:tc>
        <w:tc>
          <w:tcPr>
            <w:tcW w:w="9863" w:type="dxa"/>
            <w:gridSpan w:val="15"/>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Details of the issuer, emission allowance market participant, auction platform, auctioneer or auction monitor</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a)</w:t>
            </w:r>
          </w:p>
        </w:tc>
        <w:tc>
          <w:tcPr>
            <w:tcW w:w="273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7126" w:type="dxa"/>
            <w:gridSpan w:val="12"/>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Coca-Cola Europacific Partners plc</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b)</w:t>
            </w:r>
          </w:p>
        </w:tc>
        <w:tc>
          <w:tcPr>
            <w:tcW w:w="27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LEI</w:t>
            </w:r>
          </w:p>
        </w:tc>
        <w:tc>
          <w:tcPr>
            <w:tcW w:w="7126"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549300LTH67W4GWMRF57</w:t>
            </w:r>
          </w:p>
        </w:tc>
      </w:tr>
      <w:tr>
        <w:trPr/>
        <w:tc>
          <w:tcPr>
            <w:tcW w:w="34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4</w:t>
            </w:r>
          </w:p>
        </w:tc>
        <w:tc>
          <w:tcPr>
            <w:tcW w:w="9863" w:type="dxa"/>
            <w:gridSpan w:val="15"/>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Details of the transaction(s): section to be repeated for (i) each type of instrument; (ii) each type of transaction; (iii) each date; and (iv) each place where transactions have been conducted</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a)</w:t>
            </w:r>
          </w:p>
        </w:tc>
        <w:tc>
          <w:tcPr>
            <w:tcW w:w="273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Description of the financial instrument, type of instrument, Identification code</w:t>
            </w:r>
          </w:p>
        </w:tc>
        <w:tc>
          <w:tcPr>
            <w:tcW w:w="7126" w:type="dxa"/>
            <w:gridSpan w:val="12"/>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0"/>
              <w:jc w:val="left"/>
              <w:rPr/>
            </w:pPr>
            <w:r>
              <w:rPr>
                <w:rFonts w:ascii="Arial;sans-serif" w:hAnsi="Arial;sans-serif"/>
                <w:b w:val="false"/>
                <w:color w:val="000000"/>
                <w:sz w:val="18"/>
              </w:rPr>
              <w:t>Ordinary shares of €0.01 each in the Company (“</w:t>
            </w:r>
            <w:r>
              <w:rPr>
                <w:rFonts w:ascii="Arial;sans-serif" w:hAnsi="Arial;sans-serif"/>
                <w:b/>
                <w:color w:val="000000"/>
                <w:sz w:val="18"/>
              </w:rPr>
              <w:t>Ordinary Shares</w:t>
            </w:r>
            <w:r>
              <w:rPr>
                <w:color w:val="000000"/>
              </w:rPr>
              <w:t>”</w:t>
            </w:r>
            <w:r>
              <w:rPr>
                <w:rFonts w:ascii="Arial;sans-serif" w:hAnsi="Arial;sans-serif"/>
                <w:b w:val="false"/>
                <w:color w:val="000000"/>
                <w:sz w:val="18"/>
              </w:rPr>
              <w:t xml:space="preserve">) </w:t>
            </w:r>
          </w:p>
          <w:p>
            <w:pPr>
              <w:pStyle w:val="TableContents"/>
              <w:bidi w:val="0"/>
              <w:spacing w:before="0" w:after="0"/>
              <w:jc w:val="left"/>
              <w:rPr/>
            </w:pPr>
            <w:r>
              <w:rPr/>
            </w:r>
          </w:p>
          <w:p>
            <w:pPr>
              <w:pStyle w:val="TableContents"/>
              <w:bidi w:val="0"/>
              <w:spacing w:lineRule="auto" w:line="256" w:before="0" w:after="0"/>
              <w:jc w:val="left"/>
              <w:rPr>
                <w:rFonts w:ascii="Arial;sans-serif" w:hAnsi="Arial;sans-serif"/>
                <w:b w:val="false"/>
                <w:color w:val="000000"/>
                <w:sz w:val="18"/>
              </w:rPr>
            </w:pPr>
            <w:r>
              <w:rPr>
                <w:rFonts w:ascii="Arial;sans-serif" w:hAnsi="Arial;sans-serif"/>
                <w:b w:val="false"/>
                <w:color w:val="000000"/>
                <w:sz w:val="18"/>
              </w:rPr>
              <w:t>GB00BDCPN049</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b)</w:t>
            </w:r>
          </w:p>
        </w:tc>
        <w:tc>
          <w:tcPr>
            <w:tcW w:w="273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Nature of the transaction</w:t>
            </w:r>
          </w:p>
        </w:tc>
        <w:tc>
          <w:tcPr>
            <w:tcW w:w="7126" w:type="dxa"/>
            <w:gridSpan w:val="12"/>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Acquisition of 5.405370 Ordinary Shares from the Employee Benefit Trust (EBT) following the vesting of matching share awards granted pursuant to the Employee Share Purchase Plan (ESPP)</w:t>
            </w:r>
          </w:p>
        </w:tc>
      </w:tr>
      <w:tr>
        <w:trPr/>
        <w:tc>
          <w:tcPr>
            <w:tcW w:w="342"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c)</w:t>
            </w:r>
          </w:p>
        </w:tc>
        <w:tc>
          <w:tcPr>
            <w:tcW w:w="2737" w:type="dxa"/>
            <w:gridSpan w:val="3"/>
            <w:vMerge w:val="restart"/>
            <w:tcBorders>
              <w:left w:val="single" w:sz="8" w:space="0" w:color="000000"/>
            </w:tcBorders>
            <w:tcMar>
              <w:top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Price(s) and volume(s)</w:t>
            </w:r>
          </w:p>
        </w:tc>
        <w:tc>
          <w:tcPr>
            <w:tcW w:w="2190"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2737"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219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Price(s)</w:t>
            </w:r>
          </w:p>
        </w:tc>
        <w:tc>
          <w:tcPr>
            <w:tcW w:w="17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Volume(s)</w:t>
            </w:r>
          </w:p>
        </w:tc>
        <w:tc>
          <w:tcPr>
            <w:tcW w:w="1586"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2737"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219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USD $0.00</w:t>
            </w:r>
          </w:p>
        </w:tc>
        <w:tc>
          <w:tcPr>
            <w:tcW w:w="17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5.405370</w:t>
            </w:r>
          </w:p>
        </w:tc>
        <w:tc>
          <w:tcPr>
            <w:tcW w:w="1586"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2737"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2190"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d)</w:t>
            </w:r>
          </w:p>
        </w:tc>
        <w:tc>
          <w:tcPr>
            <w:tcW w:w="273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Aggregated information</w:t>
            </w:r>
          </w:p>
          <w:p>
            <w:pPr>
              <w:pStyle w:val="TableContents"/>
              <w:bidi w:val="0"/>
              <w:spacing w:before="0" w:after="0"/>
              <w:jc w:val="left"/>
              <w:rPr/>
            </w:pPr>
            <w:r>
              <w:rPr/>
            </w:r>
          </w:p>
          <w:p>
            <w:pPr>
              <w:pStyle w:val="TableContents"/>
              <w:bidi w:val="0"/>
              <w:spacing w:lineRule="auto" w:line="268" w:before="0" w:after="0"/>
              <w:ind w:left="0" w:right="0" w:hanging="360"/>
              <w:jc w:val="left"/>
              <w:rPr/>
            </w:pPr>
            <w:r>
              <w:rPr>
                <w:color w:val="000000"/>
              </w:rPr>
              <w:t>–</w:t>
            </w:r>
            <w:r>
              <w:rPr>
                <w:rFonts w:ascii="Arial;sans-serif" w:hAnsi="Arial;sans-serif"/>
                <w:b w:val="false"/>
                <w:color w:val="000000"/>
                <w:sz w:val="18"/>
              </w:rPr>
              <w:t>Aggregated volume</w:t>
            </w:r>
          </w:p>
          <w:p>
            <w:pPr>
              <w:pStyle w:val="TableContents"/>
              <w:bidi w:val="0"/>
              <w:spacing w:lineRule="auto" w:line="268" w:before="0" w:after="0"/>
              <w:ind w:left="0" w:right="0" w:hanging="360"/>
              <w:jc w:val="left"/>
              <w:rPr/>
            </w:pPr>
            <w:r>
              <w:rPr>
                <w:color w:val="000000"/>
              </w:rPr>
              <w:t>–</w:t>
            </w:r>
            <w:r>
              <w:rPr>
                <w:rFonts w:ascii="Arial;sans-serif" w:hAnsi="Arial;sans-serif"/>
                <w:b w:val="false"/>
                <w:color w:val="000000"/>
                <w:sz w:val="18"/>
              </w:rPr>
              <w:t>Weighted average price</w:t>
            </w:r>
          </w:p>
          <w:p>
            <w:pPr>
              <w:pStyle w:val="TableContents"/>
              <w:bidi w:val="0"/>
              <w:spacing w:lineRule="auto" w:line="268" w:before="0" w:after="0"/>
              <w:ind w:left="0" w:right="0" w:hanging="360"/>
              <w:jc w:val="left"/>
              <w:rPr/>
            </w:pPr>
            <w:r>
              <w:rPr>
                <w:color w:val="000000"/>
              </w:rPr>
              <w:t>–</w:t>
            </w:r>
            <w:r>
              <w:rPr>
                <w:rFonts w:ascii="Arial;sans-serif" w:hAnsi="Arial;sans-serif"/>
                <w:b w:val="false"/>
                <w:color w:val="000000"/>
                <w:sz w:val="18"/>
              </w:rPr>
              <w:t>Price</w:t>
            </w:r>
          </w:p>
        </w:tc>
        <w:tc>
          <w:tcPr>
            <w:tcW w:w="7126" w:type="dxa"/>
            <w:gridSpan w:val="12"/>
            <w:tcBorders>
              <w:bottom w:val="single" w:sz="8" w:space="0" w:color="000000"/>
              <w:right w:val="single" w:sz="8" w:space="0" w:color="000000"/>
            </w:tcBorders>
            <w:tcMar>
              <w:top w:w="0" w:type="dxa"/>
              <w:left w:w="0" w:type="dxa"/>
              <w:bottom w:w="30" w:type="dxa"/>
            </w:tcMar>
            <w:vAlign w:val="center"/>
          </w:tcPr>
          <w:p>
            <w:pPr>
              <w:pStyle w:val="TableContents"/>
              <w:bidi w:val="0"/>
              <w:spacing w:lineRule="auto" w:line="268" w:before="0" w:after="283"/>
              <w:jc w:val="left"/>
              <w:rPr/>
            </w:pPr>
            <w:r>
              <w:rPr>
                <w:rFonts w:ascii="Arial;sans-serif" w:hAnsi="Arial;sans-serif"/>
                <w:b w:val="false"/>
                <w:sz w:val="18"/>
              </w:rPr>
              <w:br/>
              <w:br/>
            </w:r>
            <w:r>
              <w:rPr>
                <w:rFonts w:ascii="Arial;sans-serif" w:hAnsi="Arial;sans-serif"/>
                <w:b w:val="false"/>
                <w:color w:val="000000"/>
                <w:sz w:val="18"/>
              </w:rPr>
              <w:t>Aggregated Volume: 5.405370 Ordinary Shares</w:t>
              <w:br/>
            </w:r>
            <w:r>
              <w:rPr>
                <w:rFonts w:ascii="Arial;sans-serif" w:hAnsi="Arial;sans-serif"/>
                <w:b w:val="false"/>
                <w:sz w:val="18"/>
              </w:rPr>
              <w:br/>
            </w:r>
            <w:r>
              <w:rPr>
                <w:rFonts w:ascii="Arial;sans-serif" w:hAnsi="Arial;sans-serif"/>
                <w:b w:val="false"/>
                <w:color w:val="000000"/>
                <w:sz w:val="18"/>
              </w:rPr>
              <w:t>Weighted Average Price: USD $0</w:t>
              <w:br/>
            </w:r>
            <w:r>
              <w:rPr>
                <w:rFonts w:ascii="Arial;sans-serif" w:hAnsi="Arial;sans-serif"/>
                <w:b w:val="false"/>
                <w:sz w:val="18"/>
              </w:rPr>
              <w:br/>
            </w:r>
            <w:r>
              <w:rPr>
                <w:rFonts w:ascii="Arial;sans-serif" w:hAnsi="Arial;sans-serif"/>
                <w:b w:val="false"/>
                <w:color w:val="000000"/>
                <w:sz w:val="18"/>
              </w:rPr>
              <w:t>Aggregated Price: USD $0</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e)</w:t>
            </w:r>
          </w:p>
        </w:tc>
        <w:tc>
          <w:tcPr>
            <w:tcW w:w="273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Date of the transaction</w:t>
            </w:r>
          </w:p>
        </w:tc>
        <w:tc>
          <w:tcPr>
            <w:tcW w:w="7126" w:type="dxa"/>
            <w:gridSpan w:val="12"/>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2026-07-22</w:t>
            </w:r>
          </w:p>
        </w:tc>
      </w:tr>
      <w:tr>
        <w:trPr/>
        <w:tc>
          <w:tcPr>
            <w:tcW w:w="34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f)</w:t>
            </w:r>
          </w:p>
        </w:tc>
        <w:tc>
          <w:tcPr>
            <w:tcW w:w="273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Place of the transaction</w:t>
            </w:r>
          </w:p>
        </w:tc>
        <w:tc>
          <w:tcPr>
            <w:tcW w:w="7126"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Outside of trading venue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drawing>
          <wp:inline distT="0" distB="0" distL="0" distR="0">
            <wp:extent cx="1343025" cy="904875"/>
            <wp:effectExtent l="0" t="0" r="0" b="0"/>
            <wp:docPr id="2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3" descr=""/>
                    <pic:cNvPicPr>
                      <a:picLocks noChangeAspect="1" noChangeArrowheads="1"/>
                    </pic:cNvPicPr>
                  </pic:nvPicPr>
                  <pic:blipFill>
                    <a:blip r:embed="rId14"/>
                    <a:stretch>
                      <a:fillRect/>
                    </a:stretch>
                  </pic:blipFill>
                  <pic:spPr bwMode="auto">
                    <a:xfrm>
                      <a:off x="0" y="0"/>
                      <a:ext cx="1343025" cy="904875"/>
                    </a:xfrm>
                    <a:prstGeom prst="rect">
                      <a:avLst/>
                    </a:prstGeom>
                  </pic:spPr>
                </pic:pic>
              </a:graphicData>
            </a:graphic>
          </wp:inline>
        </w:drawing>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955"/>
        <w:gridCol w:w="954"/>
        <w:gridCol w:w="828"/>
        <w:gridCol w:w="738"/>
        <w:gridCol w:w="738"/>
        <w:gridCol w:w="714"/>
        <w:gridCol w:w="643"/>
        <w:gridCol w:w="464"/>
        <w:gridCol w:w="464"/>
        <w:gridCol w:w="851"/>
        <w:gridCol w:w="464"/>
        <w:gridCol w:w="464"/>
        <w:gridCol w:w="464"/>
        <w:gridCol w:w="464"/>
        <w:gridCol w:w="6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1</w:t>
            </w:r>
          </w:p>
        </w:tc>
        <w:tc>
          <w:tcPr>
            <w:tcW w:w="9863" w:type="dxa"/>
            <w:gridSpan w:val="15"/>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Details of PDMR / PCA</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a)</w:t>
            </w:r>
          </w:p>
        </w:tc>
        <w:tc>
          <w:tcPr>
            <w:tcW w:w="27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7126"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Juan A. de Rueda Gamboa</w:t>
            </w:r>
          </w:p>
        </w:tc>
      </w:tr>
      <w:tr>
        <w:trPr/>
        <w:tc>
          <w:tcPr>
            <w:tcW w:w="34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2</w:t>
            </w:r>
          </w:p>
        </w:tc>
        <w:tc>
          <w:tcPr>
            <w:tcW w:w="9863" w:type="dxa"/>
            <w:gridSpan w:val="15"/>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Reason for notification</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a)</w:t>
            </w:r>
          </w:p>
        </w:tc>
        <w:tc>
          <w:tcPr>
            <w:tcW w:w="273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Position / status</w:t>
            </w:r>
          </w:p>
        </w:tc>
        <w:tc>
          <w:tcPr>
            <w:tcW w:w="7126" w:type="dxa"/>
            <w:gridSpan w:val="12"/>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 xml:space="preserve">Chief Public Affairs, Communications and Sustainability Officer </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b)</w:t>
            </w:r>
          </w:p>
        </w:tc>
        <w:tc>
          <w:tcPr>
            <w:tcW w:w="27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Initial notification / amendment</w:t>
            </w:r>
          </w:p>
        </w:tc>
        <w:tc>
          <w:tcPr>
            <w:tcW w:w="7126"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Initial Notification</w:t>
            </w:r>
          </w:p>
        </w:tc>
      </w:tr>
      <w:tr>
        <w:trPr/>
        <w:tc>
          <w:tcPr>
            <w:tcW w:w="34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3</w:t>
            </w:r>
          </w:p>
        </w:tc>
        <w:tc>
          <w:tcPr>
            <w:tcW w:w="9863" w:type="dxa"/>
            <w:gridSpan w:val="15"/>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Details of the issuer, emission allowance market participant, auction platform, auctioneer or auction monitor</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a)</w:t>
            </w:r>
          </w:p>
        </w:tc>
        <w:tc>
          <w:tcPr>
            <w:tcW w:w="273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7126" w:type="dxa"/>
            <w:gridSpan w:val="12"/>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Coca-Cola Europacific Partners plc</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b)</w:t>
            </w:r>
          </w:p>
        </w:tc>
        <w:tc>
          <w:tcPr>
            <w:tcW w:w="27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LEI</w:t>
            </w:r>
          </w:p>
        </w:tc>
        <w:tc>
          <w:tcPr>
            <w:tcW w:w="7126"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549300LTH67W4GWMRF57</w:t>
            </w:r>
          </w:p>
        </w:tc>
      </w:tr>
      <w:tr>
        <w:trPr/>
        <w:tc>
          <w:tcPr>
            <w:tcW w:w="34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4</w:t>
            </w:r>
          </w:p>
        </w:tc>
        <w:tc>
          <w:tcPr>
            <w:tcW w:w="9863" w:type="dxa"/>
            <w:gridSpan w:val="15"/>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283"/>
              <w:jc w:val="left"/>
              <w:rPr>
                <w:rFonts w:ascii="Arial;sans-serif" w:hAnsi="Arial;sans-serif"/>
                <w:b/>
                <w:color w:val="000000"/>
                <w:sz w:val="18"/>
              </w:rPr>
            </w:pPr>
            <w:r>
              <w:rPr>
                <w:rFonts w:ascii="Arial;sans-serif" w:hAnsi="Arial;sans-serif"/>
                <w:b/>
                <w:color w:val="000000"/>
                <w:sz w:val="18"/>
              </w:rPr>
              <w:t>Details of the transaction(s): section to be repeated for (i) each type of instrument; (ii) each type of transaction; (iii) each date; and (iv) each place where transactions have been conducted</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a)</w:t>
            </w:r>
          </w:p>
        </w:tc>
        <w:tc>
          <w:tcPr>
            <w:tcW w:w="273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Description of the financial instrument, type of instrument, Identification code</w:t>
            </w:r>
          </w:p>
        </w:tc>
        <w:tc>
          <w:tcPr>
            <w:tcW w:w="7126" w:type="dxa"/>
            <w:gridSpan w:val="12"/>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6" w:before="0" w:after="0"/>
              <w:jc w:val="left"/>
              <w:rPr/>
            </w:pPr>
            <w:r>
              <w:rPr>
                <w:rFonts w:ascii="Arial;sans-serif" w:hAnsi="Arial;sans-serif"/>
                <w:b w:val="false"/>
                <w:color w:val="000000"/>
                <w:sz w:val="18"/>
              </w:rPr>
              <w:t>Ordinary shares of €0.01 each in the Company (“</w:t>
            </w:r>
            <w:r>
              <w:rPr>
                <w:rFonts w:ascii="Arial;sans-serif" w:hAnsi="Arial;sans-serif"/>
                <w:b/>
                <w:color w:val="000000"/>
                <w:sz w:val="18"/>
              </w:rPr>
              <w:t>Ordinary Shares</w:t>
            </w:r>
            <w:r>
              <w:rPr>
                <w:color w:val="000000"/>
              </w:rPr>
              <w:t>”</w:t>
            </w:r>
            <w:r>
              <w:rPr>
                <w:rFonts w:ascii="Arial;sans-serif" w:hAnsi="Arial;sans-serif"/>
                <w:b w:val="false"/>
                <w:color w:val="000000"/>
                <w:sz w:val="18"/>
              </w:rPr>
              <w:t xml:space="preserve">) </w:t>
            </w:r>
          </w:p>
          <w:p>
            <w:pPr>
              <w:pStyle w:val="TableContents"/>
              <w:bidi w:val="0"/>
              <w:spacing w:before="0" w:after="0"/>
              <w:jc w:val="left"/>
              <w:rPr/>
            </w:pPr>
            <w:r>
              <w:rPr/>
            </w:r>
          </w:p>
          <w:p>
            <w:pPr>
              <w:pStyle w:val="TableContents"/>
              <w:bidi w:val="0"/>
              <w:spacing w:lineRule="auto" w:line="256" w:before="0" w:after="0"/>
              <w:jc w:val="left"/>
              <w:rPr>
                <w:rFonts w:ascii="Arial;sans-serif" w:hAnsi="Arial;sans-serif"/>
                <w:b w:val="false"/>
                <w:color w:val="000000"/>
                <w:sz w:val="18"/>
              </w:rPr>
            </w:pPr>
            <w:r>
              <w:rPr>
                <w:rFonts w:ascii="Arial;sans-serif" w:hAnsi="Arial;sans-serif"/>
                <w:b w:val="false"/>
                <w:color w:val="000000"/>
                <w:sz w:val="18"/>
              </w:rPr>
              <w:t>GB00BDCPN049</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b)</w:t>
            </w:r>
          </w:p>
        </w:tc>
        <w:tc>
          <w:tcPr>
            <w:tcW w:w="273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Nature of the transaction</w:t>
            </w:r>
          </w:p>
        </w:tc>
        <w:tc>
          <w:tcPr>
            <w:tcW w:w="7126" w:type="dxa"/>
            <w:gridSpan w:val="12"/>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Acquisition of 5.405370 Ordinary Shares from the Employee Benefit Trust (EBT) following the vesting of matching share awards granted pursuant to the Employee Share Purchase Plan (ESPP)</w:t>
            </w:r>
          </w:p>
        </w:tc>
      </w:tr>
      <w:tr>
        <w:trPr/>
        <w:tc>
          <w:tcPr>
            <w:tcW w:w="342"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c)</w:t>
            </w:r>
          </w:p>
        </w:tc>
        <w:tc>
          <w:tcPr>
            <w:tcW w:w="2737" w:type="dxa"/>
            <w:gridSpan w:val="3"/>
            <w:vMerge w:val="restart"/>
            <w:tcBorders>
              <w:left w:val="single" w:sz="8" w:space="0" w:color="000000"/>
            </w:tcBorders>
            <w:tcMar>
              <w:top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Price(s) and volume(s)</w:t>
            </w:r>
          </w:p>
        </w:tc>
        <w:tc>
          <w:tcPr>
            <w:tcW w:w="2190"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2737"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219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Price(s)</w:t>
            </w:r>
          </w:p>
        </w:tc>
        <w:tc>
          <w:tcPr>
            <w:tcW w:w="17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Volume(s)</w:t>
            </w:r>
          </w:p>
        </w:tc>
        <w:tc>
          <w:tcPr>
            <w:tcW w:w="1586"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2737"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219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USD $0.00</w:t>
            </w:r>
          </w:p>
        </w:tc>
        <w:tc>
          <w:tcPr>
            <w:tcW w:w="17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5.405370</w:t>
            </w:r>
          </w:p>
        </w:tc>
        <w:tc>
          <w:tcPr>
            <w:tcW w:w="1586"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2737"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2190"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d)</w:t>
            </w:r>
          </w:p>
        </w:tc>
        <w:tc>
          <w:tcPr>
            <w:tcW w:w="273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Aggregated information</w:t>
            </w:r>
          </w:p>
          <w:p>
            <w:pPr>
              <w:pStyle w:val="TableContents"/>
              <w:bidi w:val="0"/>
              <w:spacing w:before="0" w:after="0"/>
              <w:jc w:val="left"/>
              <w:rPr/>
            </w:pPr>
            <w:r>
              <w:rPr/>
            </w:r>
          </w:p>
          <w:p>
            <w:pPr>
              <w:pStyle w:val="TableContents"/>
              <w:bidi w:val="0"/>
              <w:spacing w:lineRule="auto" w:line="268" w:before="0" w:after="0"/>
              <w:ind w:left="0" w:right="0" w:hanging="360"/>
              <w:jc w:val="left"/>
              <w:rPr/>
            </w:pPr>
            <w:r>
              <w:rPr>
                <w:color w:val="000000"/>
              </w:rPr>
              <w:t>–</w:t>
            </w:r>
            <w:r>
              <w:rPr>
                <w:rFonts w:ascii="Arial;sans-serif" w:hAnsi="Arial;sans-serif"/>
                <w:b w:val="false"/>
                <w:color w:val="000000"/>
                <w:sz w:val="18"/>
              </w:rPr>
              <w:t>Aggregated volume</w:t>
            </w:r>
          </w:p>
          <w:p>
            <w:pPr>
              <w:pStyle w:val="TableContents"/>
              <w:bidi w:val="0"/>
              <w:spacing w:lineRule="auto" w:line="268" w:before="0" w:after="0"/>
              <w:ind w:left="0" w:right="0" w:hanging="360"/>
              <w:jc w:val="left"/>
              <w:rPr/>
            </w:pPr>
            <w:r>
              <w:rPr>
                <w:color w:val="000000"/>
              </w:rPr>
              <w:t>–</w:t>
            </w:r>
            <w:r>
              <w:rPr>
                <w:rFonts w:ascii="Arial;sans-serif" w:hAnsi="Arial;sans-serif"/>
                <w:b w:val="false"/>
                <w:color w:val="000000"/>
                <w:sz w:val="18"/>
              </w:rPr>
              <w:t>Weighted average price</w:t>
            </w:r>
          </w:p>
          <w:p>
            <w:pPr>
              <w:pStyle w:val="TableContents"/>
              <w:bidi w:val="0"/>
              <w:spacing w:lineRule="auto" w:line="268" w:before="0" w:after="0"/>
              <w:ind w:left="0" w:right="0" w:hanging="360"/>
              <w:jc w:val="left"/>
              <w:rPr/>
            </w:pPr>
            <w:r>
              <w:rPr>
                <w:color w:val="000000"/>
              </w:rPr>
              <w:t>–</w:t>
            </w:r>
            <w:r>
              <w:rPr>
                <w:rFonts w:ascii="Arial;sans-serif" w:hAnsi="Arial;sans-serif"/>
                <w:b w:val="false"/>
                <w:color w:val="000000"/>
                <w:sz w:val="18"/>
              </w:rPr>
              <w:t>Price</w:t>
            </w:r>
          </w:p>
        </w:tc>
        <w:tc>
          <w:tcPr>
            <w:tcW w:w="7126" w:type="dxa"/>
            <w:gridSpan w:val="12"/>
            <w:tcBorders>
              <w:bottom w:val="single" w:sz="8" w:space="0" w:color="000000"/>
              <w:right w:val="single" w:sz="8" w:space="0" w:color="000000"/>
            </w:tcBorders>
            <w:tcMar>
              <w:top w:w="0" w:type="dxa"/>
              <w:left w:w="0" w:type="dxa"/>
              <w:bottom w:w="30" w:type="dxa"/>
            </w:tcMar>
            <w:vAlign w:val="center"/>
          </w:tcPr>
          <w:p>
            <w:pPr>
              <w:pStyle w:val="TableContents"/>
              <w:bidi w:val="0"/>
              <w:spacing w:lineRule="auto" w:line="268" w:before="0" w:after="283"/>
              <w:jc w:val="left"/>
              <w:rPr/>
            </w:pPr>
            <w:r>
              <w:rPr>
                <w:rFonts w:ascii="Arial;sans-serif" w:hAnsi="Arial;sans-serif"/>
                <w:b w:val="false"/>
                <w:sz w:val="18"/>
              </w:rPr>
              <w:br/>
              <w:br/>
            </w:r>
            <w:r>
              <w:rPr>
                <w:rFonts w:ascii="Arial;sans-serif" w:hAnsi="Arial;sans-serif"/>
                <w:b w:val="false"/>
                <w:color w:val="000000"/>
                <w:sz w:val="18"/>
              </w:rPr>
              <w:t>Aggregated Volume: 5.405370 Ordinary Shares</w:t>
              <w:br/>
            </w:r>
            <w:r>
              <w:rPr>
                <w:rFonts w:ascii="Arial;sans-serif" w:hAnsi="Arial;sans-serif"/>
                <w:b w:val="false"/>
                <w:sz w:val="18"/>
              </w:rPr>
              <w:br/>
            </w:r>
            <w:r>
              <w:rPr>
                <w:rFonts w:ascii="Arial;sans-serif" w:hAnsi="Arial;sans-serif"/>
                <w:b w:val="false"/>
                <w:color w:val="000000"/>
                <w:sz w:val="18"/>
              </w:rPr>
              <w:t>Weighted Average Price: USD $0</w:t>
              <w:br/>
            </w:r>
            <w:r>
              <w:rPr>
                <w:rFonts w:ascii="Arial;sans-serif" w:hAnsi="Arial;sans-serif"/>
                <w:b w:val="false"/>
                <w:sz w:val="18"/>
              </w:rPr>
              <w:br/>
            </w:r>
            <w:r>
              <w:rPr>
                <w:rFonts w:ascii="Arial;sans-serif" w:hAnsi="Arial;sans-serif"/>
                <w:b w:val="false"/>
                <w:color w:val="000000"/>
                <w:sz w:val="18"/>
              </w:rPr>
              <w:t>Aggregated Price: USD $0</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e)</w:t>
            </w:r>
          </w:p>
        </w:tc>
        <w:tc>
          <w:tcPr>
            <w:tcW w:w="273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Date of the transaction</w:t>
            </w:r>
          </w:p>
        </w:tc>
        <w:tc>
          <w:tcPr>
            <w:tcW w:w="7126" w:type="dxa"/>
            <w:gridSpan w:val="12"/>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2026-07-22</w:t>
            </w:r>
          </w:p>
        </w:tc>
      </w:tr>
      <w:tr>
        <w:trPr/>
        <w:tc>
          <w:tcPr>
            <w:tcW w:w="34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f)</w:t>
            </w:r>
          </w:p>
        </w:tc>
        <w:tc>
          <w:tcPr>
            <w:tcW w:w="273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Place of the transaction</w:t>
            </w:r>
          </w:p>
        </w:tc>
        <w:tc>
          <w:tcPr>
            <w:tcW w:w="7126"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2" w:before="0" w:after="283"/>
              <w:jc w:val="left"/>
              <w:rPr>
                <w:rFonts w:ascii="Arial;sans-serif" w:hAnsi="Arial;sans-serif"/>
                <w:b w:val="false"/>
                <w:color w:val="000000"/>
                <w:sz w:val="18"/>
              </w:rPr>
            </w:pPr>
            <w:r>
              <w:rPr>
                <w:rFonts w:ascii="Arial;sans-serif" w:hAnsi="Arial;sans-serif"/>
                <w:b w:val="false"/>
                <w:color w:val="000000"/>
                <w:sz w:val="18"/>
              </w:rPr>
              <w:t>Outside of trading venue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drawing>
          <wp:inline distT="0" distB="0" distL="0" distR="0">
            <wp:extent cx="1343025" cy="904875"/>
            <wp:effectExtent l="0" t="0" r="0" b="0"/>
            <wp:docPr id="2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4" descr=""/>
                    <pic:cNvPicPr>
                      <a:picLocks noChangeAspect="1" noChangeArrowheads="1"/>
                    </pic:cNvPicPr>
                  </pic:nvPicPr>
                  <pic:blipFill>
                    <a:blip r:embed="rId15"/>
                    <a:stretch>
                      <a:fillRect/>
                    </a:stretch>
                  </pic:blipFill>
                  <pic:spPr bwMode="auto">
                    <a:xfrm>
                      <a:off x="0" y="0"/>
                      <a:ext cx="1343025" cy="904875"/>
                    </a:xfrm>
                    <a:prstGeom prst="rect">
                      <a:avLst/>
                    </a:prstGeom>
                  </pic:spPr>
                </pic:pic>
              </a:graphicData>
            </a:graphic>
          </wp:inline>
        </w:drawing>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76" w:before="0" w:after="0"/>
        <w:jc w:val="left"/>
        <w:rPr>
          <w:rFonts w:ascii="Times New Roman;serif" w:hAnsi="Times New Roman;serif"/>
          <w:b/>
          <w:color w:val="000000"/>
          <w:sz w:val="24"/>
        </w:rPr>
      </w:pPr>
      <w:r>
        <w:rPr>
          <w:rFonts w:ascii="Times New Roman;serif" w:hAnsi="Times New Roman;serif"/>
          <w:b/>
          <w:color w:val="000000"/>
          <w:sz w:val="24"/>
        </w:rPr>
        <w:t>August 3, 2026</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Total Voting Rights and Capital</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This notification is made in conformity with DTR 5.6 of the FCA’s Disclosure Guidance and Transparency Rules.</w:t>
      </w:r>
    </w:p>
    <w:p>
      <w:pPr>
        <w:pStyle w:val="TextBody"/>
        <w:bidi w:val="0"/>
        <w:spacing w:before="0" w:after="0"/>
        <w:jc w:val="left"/>
        <w:rPr/>
      </w:pPr>
      <w:r>
        <w:rPr/>
      </w:r>
    </w:p>
    <w:p>
      <w:pPr>
        <w:pStyle w:val="TextBody"/>
        <w:bidi w:val="0"/>
        <w:spacing w:lineRule="auto" w:line="268" w:before="0" w:after="0"/>
        <w:jc w:val="both"/>
        <w:rPr/>
      </w:pPr>
      <w:r>
        <w:rPr>
          <w:rFonts w:ascii="Arial;sans-serif" w:hAnsi="Arial;sans-serif"/>
          <w:b w:val="false"/>
          <w:color w:val="000000"/>
          <w:sz w:val="20"/>
        </w:rPr>
        <w:t>As at 31 July 2026, Coca-Cola Europacific Partners plc had 442,228,029 ordinary shares of €0.01 each in issue, each with one vote attached. No shares were held in treasury.</w:t>
      </w:r>
      <w:r>
        <w:rPr>
          <w:color w:val="555555"/>
          <w:shd w:fill="FFFFFF" w:val="clear"/>
        </w:rPr>
        <w:t xml:space="preserve"> </w:t>
      </w:r>
    </w:p>
    <w:p>
      <w:pPr>
        <w:pStyle w:val="TextBody"/>
        <w:bidi w:val="0"/>
        <w:spacing w:before="0" w:after="0"/>
        <w:jc w:val="left"/>
        <w:rPr/>
      </w:pPr>
      <w:r>
        <w:rPr/>
      </w:r>
    </w:p>
    <w:p>
      <w:pPr>
        <w:pStyle w:val="TextBody"/>
        <w:bidi w:val="0"/>
        <w:spacing w:lineRule="auto" w:line="268" w:before="0" w:after="0"/>
        <w:jc w:val="both"/>
        <w:rPr/>
      </w:pPr>
      <w:r>
        <w:rPr>
          <w:rFonts w:ascii="Arial;sans-serif" w:hAnsi="Arial;sans-serif"/>
          <w:b w:val="false"/>
          <w:color w:val="000000"/>
          <w:sz w:val="20"/>
        </w:rPr>
        <w:t>The total number of voting rights is 442,228,029</w:t>
      </w:r>
      <w:r>
        <w:rPr>
          <w:color w:val="000000"/>
        </w:rPr>
        <w:t xml:space="preserve"> </w:t>
      </w:r>
      <w:r>
        <w:rPr>
          <w:rFonts w:ascii="Arial;sans-serif" w:hAnsi="Arial;sans-serif"/>
          <w:b w:val="false"/>
          <w:color w:val="000000"/>
          <w:sz w:val="20"/>
        </w:rPr>
        <w:t>and this figure may be used by shareholders and others with notification obligations as the denominator for the calculations by which they will determine if they are required to notify their interest in, or a change to their interest in, Coca-Cola Europacific Partners plc under the FCA’s Disclosure Guidance and Transparency Rules.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Coca-Cola Europacific Partners plc</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Company Secretariat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secretariat@ccep.com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417" w:before="0" w:after="0"/>
        <w:jc w:val="center"/>
        <w:rPr>
          <w:rFonts w:ascii="Arial;sans-serif" w:hAnsi="Arial;sans-serif"/>
          <w:b/>
          <w:color w:val="000000"/>
          <w:sz w:val="20"/>
        </w:rPr>
      </w:pPr>
      <w:r>
        <w:rPr>
          <w:rFonts w:ascii="Arial;sans-serif" w:hAnsi="Arial;sans-serif"/>
          <w:b/>
          <w:color w:val="000000"/>
          <w:sz w:val="20"/>
        </w:rPr>
        <w:t>SIGNATURE</w:t>
      </w:r>
    </w:p>
    <w:p>
      <w:pPr>
        <w:pStyle w:val="TextBody"/>
        <w:bidi w:val="0"/>
        <w:spacing w:lineRule="auto" w:line="417" w:before="0" w:after="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7526" w:type="dxa"/>
        <w:jc w:val="left"/>
        <w:tblInd w:w="0" w:type="dxa"/>
        <w:tblLayout w:type="fixed"/>
        <w:tblCellMar>
          <w:top w:w="28" w:type="dxa"/>
          <w:left w:w="28" w:type="dxa"/>
          <w:bottom w:w="28" w:type="dxa"/>
          <w:right w:w="28" w:type="dxa"/>
        </w:tblCellMar>
      </w:tblPr>
      <w:tblGrid>
        <w:gridCol w:w="711"/>
        <w:gridCol w:w="624"/>
        <w:gridCol w:w="630"/>
        <w:gridCol w:w="664"/>
        <w:gridCol w:w="664"/>
        <w:gridCol w:w="664"/>
        <w:gridCol w:w="1039"/>
        <w:gridCol w:w="1039"/>
        <w:gridCol w:w="1491"/>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COCA-COLA EUROPACIFIC PARTNERS PLC</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(Registrant)</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August 3, 2026</w:t>
            </w:r>
          </w:p>
        </w:tc>
        <w:tc>
          <w:tcPr>
            <w:tcW w:w="19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56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/s/ Svetlana Walker</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3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Svetlana Walker</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Counsel &amp; Company Secretary</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1.png"/><Relationship Id="rId5" Type="http://schemas.openxmlformats.org/officeDocument/2006/relationships/image" Target="media/image1.png"/><Relationship Id="rId6" Type="http://schemas.openxmlformats.org/officeDocument/2006/relationships/image" Target="media/image1.png"/><Relationship Id="rId7" Type="http://schemas.openxmlformats.org/officeDocument/2006/relationships/image" Target="media/image1.png"/><Relationship Id="rId8" Type="http://schemas.openxmlformats.org/officeDocument/2006/relationships/image" Target="media/image1.png"/><Relationship Id="rId9" Type="http://schemas.openxmlformats.org/officeDocument/2006/relationships/image" Target="media/image1.png"/><Relationship Id="rId10" Type="http://schemas.openxmlformats.org/officeDocument/2006/relationships/image" Target="media/image1.png"/><Relationship Id="rId11" Type="http://schemas.openxmlformats.org/officeDocument/2006/relationships/image" Target="media/image1.png"/><Relationship Id="rId12" Type="http://schemas.openxmlformats.org/officeDocument/2006/relationships/image" Target="media/image1.png"/><Relationship Id="rId13" Type="http://schemas.openxmlformats.org/officeDocument/2006/relationships/image" Target="media/image1.png"/><Relationship Id="rId14" Type="http://schemas.openxmlformats.org/officeDocument/2006/relationships/image" Target="media/image1.png"/><Relationship Id="rId15" Type="http://schemas.openxmlformats.org/officeDocument/2006/relationships/image" Target="media/image1.pn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2596</Words>
  <Characters>15177</Characters>
  <CharactersWithSpaces>17184</CharactersWithSpaces>
  <Paragraphs>680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