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COCA-COLA EUROPACIFIC PARTNERS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Pemberton House, Bakers Road</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Uxbridge, UB8 1EZ, United Kingdom</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6"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(Check One)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186055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355" w:lineRule="exact"/>
        <w:rPr>
          <w:sz w:val="20"/>
          <w:szCs w:val="20"/>
          <w:color w:val="auto"/>
        </w:rPr>
      </w:pPr>
    </w:p>
    <w:p>
      <w:pPr>
        <w:jc w:val="center"/>
        <w:ind w:left="2720" w:right="1700"/>
        <w:spacing w:after="0" w:line="383" w:lineRule="auto"/>
        <w:rPr>
          <w:sz w:val="20"/>
          <w:szCs w:val="20"/>
          <w:color w:val="auto"/>
        </w:rPr>
      </w:pPr>
      <w:r>
        <w:rPr>
          <w:rFonts w:ascii="Arial" w:cs="Arial" w:eastAsia="Arial" w:hAnsi="Arial"/>
          <w:sz w:val="18"/>
          <w:szCs w:val="18"/>
          <w:b w:val="1"/>
          <w:bCs w:val="1"/>
          <w:color w:val="auto"/>
        </w:rPr>
        <w:t>List identifying information required to be furnished by Coca-Cola Europacific Partners plc pursuant to Rule 13a-16 or 15d-16 of The Securities Exchange Act</w:t>
      </w:r>
    </w:p>
    <w:p>
      <w:pPr>
        <w:sectPr>
          <w:pgSz w:w="11900" w:h="16838" w:orient="portrait"/>
          <w:cols w:equalWidth="0" w:num="1">
            <w:col w:w="10060"/>
          </w:cols>
          <w:pgMar w:left="400" w:top="1440" w:right="1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Public announcements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1-31, 2026</w:t>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Required by</w:t>
      </w:r>
    </w:p>
    <w:p>
      <w:pPr>
        <w:spacing w:after="0" w:line="4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FCA's Disclosure Guidance and Transparency Rules</w:t>
      </w:r>
    </w:p>
    <w:p>
      <w:pPr>
        <w:spacing w:after="0" w:line="200" w:lineRule="exact"/>
        <w:rPr>
          <w:sz w:val="20"/>
          <w:szCs w:val="20"/>
          <w:color w:val="auto"/>
        </w:rPr>
      </w:pPr>
    </w:p>
    <w:p>
      <w:pPr>
        <w:sectPr>
          <w:pgSz w:w="11900" w:h="16838" w:orient="portrait"/>
          <w:cols w:equalWidth="0" w:num="2">
            <w:col w:w="4200" w:space="720"/>
            <w:col w:w="5140"/>
          </w:cols>
          <w:pgMar w:left="400" w:top="1440" w:right="14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Director/PDMR Shareholding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Director/PDMR Shareholding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Total Voting Rights and Capital</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Matter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May 1, 2026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21, 2026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2026</w:t>
      </w:r>
    </w:p>
    <w:p>
      <w:pPr>
        <w:spacing w:after="0" w:line="200" w:lineRule="exact"/>
        <w:rPr>
          <w:sz w:val="20"/>
          <w:szCs w:val="20"/>
          <w:color w:val="auto"/>
        </w:rPr>
      </w:pPr>
    </w:p>
    <w:p>
      <w:pPr>
        <w:sectPr>
          <w:pgSz w:w="11900" w:h="16838" w:orient="portrait"/>
          <w:cols w:equalWidth="0" w:num="2">
            <w:col w:w="5140" w:space="720"/>
            <w:col w:w="4200"/>
          </w:cols>
          <w:pgMar w:left="400" w:top="144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060"/>
          </w:cols>
          <w:pgMar w:left="400" w:top="1440" w:right="1439" w:bottom="1440" w:gutter="0" w:footer="0" w:header="0"/>
          <w:type w:val="continuous"/>
        </w:sectPr>
      </w:pPr>
    </w:p>
    <w:bookmarkStart w:id="2" w:name="page3"/>
    <w:bookmarkEnd w:id="2"/>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May 1, 2026</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COCA-COLA EUROPACIFIC PARTNERS PLC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Notification of transactions of persons discharging managerial responsibilities (“PDMR”) or persons closely associated with them (“PCA”)</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Stephen Lusk</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Chief Commercial Officer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Sale of 3,175 Ordinary Shares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$94.702154</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3,175</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gridSpan w:val="2"/>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3,175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$94.702154</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$300,679.33895</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2026-05-01</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1440" w:right="319" w:bottom="1440" w:gutter="0" w:footer="0" w:header="0"/>
        </w:sectPr>
      </w:pPr>
    </w:p>
    <w:bookmarkStart w:id="3" w:name="page4"/>
    <w:bookmarkEnd w:id="3"/>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May 21, 2026</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COCA-COLA EUROPACIFIC PARTNERS PLC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Notification of transactions of persons discharging managerial responsibilities (“PDMR”) or persons closely associated with them (“PCA”)</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Edward Walker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Chief Financial Officer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3.959450 Ordinary Shares pursuant to the UK Share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$91.764500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2.159700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1.799750</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3.959450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$50.053364</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$198.183792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2026-05-19</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440"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Svetlana Walker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General Counsel and Company Secretary</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3.959450 Ordinary Shares pursuant to the UK Share Plan</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$91.764500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2.159700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1.799750</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3.959450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$50.053364</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$198.183792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2026-05-19</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44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Stephen Lusk</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Chief Commercial Officer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3.959450 Ordinary Shares pursuant to the UK Share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$91.764500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2.159700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1.799750</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0" w:type="dxa"/>
            <w:vAlign w:val="bottom"/>
            <w:tcBorders>
              <w:left w:val="single" w:sz="8" w:color="auto"/>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gridSpan w:val="2"/>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3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3.959450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$50.053364</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$198.183792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2026-05-19</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2.173820 Ordinary Shares pursuant to the UK Shareshop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440" w:right="319" w:bottom="1440" w:gutter="0" w:footer="0" w:header="0"/>
        </w:sectPr>
      </w:pPr>
    </w:p>
    <w:bookmarkStart w:id="6" w:name="page7"/>
    <w:bookmarkEnd w:id="6"/>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4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right w:val="single" w:sz="8" w:color="auto"/>
            </w:tcBorders>
          </w:tcPr>
          <w:p>
            <w:pPr>
              <w:spacing w:after="0"/>
              <w:rPr>
                <w:sz w:val="18"/>
                <w:szCs w:val="18"/>
                <w:color w:val="auto"/>
              </w:rPr>
            </w:pPr>
          </w:p>
        </w:tc>
        <w:tc>
          <w:tcPr>
            <w:tcW w:w="34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$91.764500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2.173820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gridSpan w:val="2"/>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Aggregated</w:t>
            </w:r>
          </w:p>
        </w:tc>
        <w:tc>
          <w:tcPr>
            <w:tcW w:w="348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2.173820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Borders>
              <w:right w:val="single" w:sz="8" w:color="auto"/>
            </w:tcBorders>
            <w:vMerge w:val="restart"/>
          </w:tcPr>
          <w:p>
            <w:pPr>
              <w:ind w:left="120"/>
              <w:spacing w:after="0" w:line="175" w:lineRule="exact"/>
              <w:rPr>
                <w:sz w:val="20"/>
                <w:szCs w:val="20"/>
                <w:color w:val="auto"/>
              </w:rPr>
            </w:pPr>
            <w:r>
              <w:rPr>
                <w:rFonts w:ascii="Arial" w:cs="Arial" w:eastAsia="Arial" w:hAnsi="Arial"/>
                <w:sz w:val="16"/>
                <w:szCs w:val="16"/>
                <w:color w:val="auto"/>
              </w:rPr>
              <w:t>volume</w:t>
            </w:r>
          </w:p>
        </w:tc>
        <w:tc>
          <w:tcPr>
            <w:tcW w:w="348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Weighted average</w:t>
            </w:r>
          </w:p>
        </w:tc>
        <w:tc>
          <w:tcPr>
            <w:tcW w:w="3480" w:type="dxa"/>
            <w:vAlign w:val="bottom"/>
            <w:gridSpan w:val="2"/>
          </w:tcPr>
          <w:p>
            <w:pPr>
              <w:spacing w:after="0"/>
              <w:rPr>
                <w:sz w:val="20"/>
                <w:szCs w:val="20"/>
                <w:color w:val="auto"/>
              </w:rPr>
            </w:pPr>
            <w:r>
              <w:rPr>
                <w:rFonts w:ascii="Arial" w:cs="Arial" w:eastAsia="Arial" w:hAnsi="Arial"/>
                <w:sz w:val="16"/>
                <w:szCs w:val="16"/>
                <w:color w:val="auto"/>
              </w:rPr>
              <w:t>Weighted Average Price: USD $91.764500</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500" w:type="dxa"/>
            <w:vAlign w:val="bottom"/>
            <w:tcBorders>
              <w:right w:val="single" w:sz="8" w:color="auto"/>
            </w:tcBorders>
          </w:tcPr>
          <w:p>
            <w:pPr>
              <w:ind w:left="120"/>
              <w:spacing w:after="0" w:line="107" w:lineRule="exact"/>
              <w:rPr>
                <w:sz w:val="20"/>
                <w:szCs w:val="20"/>
                <w:color w:val="auto"/>
              </w:rPr>
            </w:pPr>
            <w:r>
              <w:rPr>
                <w:rFonts w:ascii="Arial" w:cs="Arial" w:eastAsia="Arial" w:hAnsi="Arial"/>
                <w:sz w:val="12"/>
                <w:szCs w:val="12"/>
                <w:color w:val="auto"/>
              </w:rPr>
              <w:t>price</w:t>
            </w: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Price</w:t>
            </w:r>
          </w:p>
        </w:tc>
        <w:tc>
          <w:tcPr>
            <w:tcW w:w="348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$199.479505</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2026-05-19</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44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Leendert den Hollander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Chief Strategy Officer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3.959450 Ordinary Shares pursuant to the UK Share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$91.764500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2.159700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1.799750</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3.959450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$50.053364</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$198.183792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2026-05-19</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440"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Stephen Moorhouse</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Chief Customer Service and Supply Chain Officer</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3.959450 Ordinary Shares pursuant to the UK Share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$91.764500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2.159700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1.799750</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3.959450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$50.053364</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$198.183792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2026-05-19</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1440"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June 1, 2026</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Voting Rights and Capital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This notification is made in conformity with DTR 5.6 of the FCA’s Disclosure Guidance and Transparency Rules.</w:t>
      </w:r>
    </w:p>
    <w:p>
      <w:pPr>
        <w:spacing w:after="0" w:line="23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As at 31 May 2026, Coca-Cola Europacific Partners plc had 443,217,637 ordinary shares of €0.01 each in issue, each with one vote attached. No shares were held in treasury.</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total number of voting rights is 443,217,637 and this figure may be used by shareholders and others with notification obligations as the denominator for the calculations by which they will determine if they are required to notify their interest in, or a change to their interest in, Coca-Cola Europacific Partners plc under the FCA's Disclosure Guidance and Transparency Rules.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Coca-Cola Europacific Partners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Lauren Brown</w:t>
      </w:r>
    </w:p>
    <w:p>
      <w:pPr>
        <w:spacing w:after="0" w:line="234" w:lineRule="auto"/>
        <w:rPr>
          <w:sz w:val="20"/>
          <w:szCs w:val="20"/>
          <w:color w:val="auto"/>
        </w:rPr>
      </w:pPr>
      <w:r>
        <w:rPr>
          <w:rFonts w:ascii="Arial" w:cs="Arial" w:eastAsia="Arial" w:hAnsi="Arial"/>
          <w:sz w:val="18"/>
          <w:szCs w:val="18"/>
          <w:color w:val="auto"/>
        </w:rPr>
        <w:t>Head of Secretariat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+44 7919 485 062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1440" w:right="539" w:bottom="1440" w:gutter="0" w:footer="0" w:header="0"/>
        </w:sectPr>
      </w:pPr>
    </w:p>
    <w:bookmarkStart w:id="10" w:name="page11"/>
    <w:bookmarkEnd w:id="10"/>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04"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COCA-COLA EUROPACIFIC PARTNERS PLC</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(Registrant)</w:t>
            </w:r>
          </w:p>
        </w:tc>
      </w:tr>
      <w:tr>
        <w:trPr>
          <w:trHeight w:val="605"/>
        </w:trPr>
        <w:tc>
          <w:tcPr>
            <w:tcW w:w="2480" w:type="dxa"/>
            <w:vAlign w:val="bottom"/>
          </w:tcPr>
          <w:p>
            <w:pPr>
              <w:spacing w:after="0"/>
              <w:rPr>
                <w:sz w:val="20"/>
                <w:szCs w:val="20"/>
                <w:color w:val="auto"/>
              </w:rPr>
            </w:pPr>
            <w:r>
              <w:rPr>
                <w:rFonts w:ascii="Arial" w:cs="Arial" w:eastAsia="Arial" w:hAnsi="Arial"/>
                <w:sz w:val="18"/>
                <w:szCs w:val="18"/>
                <w:color w:val="auto"/>
              </w:rPr>
              <w:t>Date: June 1, 2026</w:t>
            </w:r>
          </w:p>
        </w:tc>
        <w:tc>
          <w:tcPr>
            <w:tcW w:w="1660" w:type="dxa"/>
            <w:vAlign w:val="bottom"/>
          </w:tcPr>
          <w:p>
            <w:pPr>
              <w:ind w:left="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Svetlana Walker</w:t>
            </w:r>
          </w:p>
        </w:tc>
      </w:tr>
      <w:tr>
        <w:trPr>
          <w:trHeight w:val="254"/>
        </w:trPr>
        <w:tc>
          <w:tcPr>
            <w:tcW w:w="2480" w:type="dxa"/>
            <w:vAlign w:val="bottom"/>
          </w:tcPr>
          <w:p>
            <w:pPr>
              <w:spacing w:after="0"/>
              <w:rPr>
                <w:sz w:val="22"/>
                <w:szCs w:val="22"/>
                <w:color w:val="auto"/>
              </w:rPr>
            </w:pPr>
          </w:p>
        </w:tc>
        <w:tc>
          <w:tcPr>
            <w:tcW w:w="1660" w:type="dxa"/>
            <w:vAlign w:val="bottom"/>
          </w:tcPr>
          <w:p>
            <w:pPr>
              <w:ind w:left="96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Svetlana Walker</w:t>
            </w:r>
          </w:p>
        </w:tc>
      </w:tr>
      <w:tr>
        <w:trPr>
          <w:trHeight w:val="270"/>
        </w:trPr>
        <w:tc>
          <w:tcPr>
            <w:tcW w:w="2480" w:type="dxa"/>
            <w:vAlign w:val="bottom"/>
          </w:tcPr>
          <w:p>
            <w:pPr>
              <w:spacing w:after="0"/>
              <w:rPr>
                <w:sz w:val="23"/>
                <w:szCs w:val="23"/>
                <w:color w:val="auto"/>
              </w:rPr>
            </w:pPr>
          </w:p>
        </w:tc>
        <w:tc>
          <w:tcPr>
            <w:tcW w:w="1660" w:type="dxa"/>
            <w:vAlign w:val="bottom"/>
          </w:tcPr>
          <w:p>
            <w:pPr>
              <w:ind w:left="96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General Counsel &amp;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2026-06-01T08:12:59Z</dcterms:created>
  <dcterms:modified xsi:type="dcterms:W3CDTF">2026-06-01T08:12:59Z</dcterms:modified>
</cp:coreProperties>
</file>