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(Check One)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29 May 2026</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Coca-Cola Europacific Partners plc – Results of 2026 Annual General Meeting</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Annual General Meeting of Coca-Cola Europacific Partners plc (the “</w:t>
      </w:r>
      <w:r>
        <w:rPr>
          <w:rFonts w:ascii="Arial" w:cs="Arial" w:eastAsia="Arial" w:hAnsi="Arial"/>
          <w:sz w:val="20"/>
          <w:szCs w:val="20"/>
          <w:b w:val="1"/>
          <w:bCs w:val="1"/>
          <w:color w:val="auto"/>
        </w:rPr>
        <w:t>Company</w:t>
      </w:r>
      <w:r>
        <w:rPr>
          <w:rFonts w:ascii="Arial" w:cs="Arial" w:eastAsia="Arial" w:hAnsi="Arial"/>
          <w:sz w:val="20"/>
          <w:szCs w:val="20"/>
          <w:color w:val="auto"/>
        </w:rPr>
        <w:t>”) was held at 1A Wimpole Street, London, W1G 0EA, United Kingdom on 28 May 2026.</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All 31 resolutions put to the members were passed on a poll. Accordingly, resolutions 1 to 26 were passed as ordinary resolutions and resolutions 27 to 31 were passed as special resolutions.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results of the polls are set out below:</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72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Resolution</w:t>
            </w:r>
          </w:p>
        </w:tc>
        <w:tc>
          <w:tcPr>
            <w:tcW w:w="1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For (see note 1)</w:t>
            </w:r>
          </w:p>
        </w:tc>
        <w:tc>
          <w:tcPr>
            <w:tcW w:w="820" w:type="dxa"/>
            <w:vAlign w:val="bottom"/>
            <w:tcBorders>
              <w:top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Against (see note 1)</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Issued share</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Votes</w:t>
            </w:r>
          </w:p>
        </w:tc>
      </w:tr>
      <w:tr>
        <w:trPr>
          <w:trHeight w:val="203"/>
        </w:trPr>
        <w:tc>
          <w:tcPr>
            <w:tcW w:w="680" w:type="dxa"/>
            <w:vAlign w:val="bottom"/>
            <w:tcBorders>
              <w:lef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capital</w:t>
            </w:r>
          </w:p>
        </w:tc>
        <w:tc>
          <w:tcPr>
            <w:tcW w:w="11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withheld</w:t>
            </w:r>
          </w:p>
        </w:tc>
      </w:tr>
      <w:tr>
        <w:trPr>
          <w:trHeight w:val="203"/>
        </w:trPr>
        <w:tc>
          <w:tcPr>
            <w:tcW w:w="680" w:type="dxa"/>
            <w:vAlign w:val="bottom"/>
            <w:tcBorders>
              <w:lef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represented</w:t>
            </w:r>
          </w:p>
        </w:tc>
        <w:tc>
          <w:tcPr>
            <w:tcW w:w="11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(see note 3)</w:t>
            </w:r>
          </w:p>
        </w:tc>
      </w:tr>
      <w:tr>
        <w:trPr>
          <w:trHeight w:val="203"/>
        </w:trPr>
        <w:tc>
          <w:tcPr>
            <w:tcW w:w="680" w:type="dxa"/>
            <w:vAlign w:val="bottom"/>
            <w:tcBorders>
              <w:lef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by votes</w:t>
            </w:r>
          </w:p>
        </w:tc>
        <w:tc>
          <w:tcPr>
            <w:tcW w:w="1180" w:type="dxa"/>
            <w:vAlign w:val="bottom"/>
            <w:tcBorders>
              <w:right w:val="single" w:sz="8" w:color="auto"/>
            </w:tcBorders>
          </w:tcPr>
          <w:p>
            <w:pPr>
              <w:spacing w:after="0"/>
              <w:rPr>
                <w:sz w:val="17"/>
                <w:szCs w:val="17"/>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(see note 2)</w:t>
            </w:r>
          </w:p>
        </w:tc>
        <w:tc>
          <w:tcPr>
            <w:tcW w:w="1180" w:type="dxa"/>
            <w:vAlign w:val="bottom"/>
            <w:tcBorders>
              <w:right w:val="single" w:sz="8" w:color="auto"/>
            </w:tcBorders>
          </w:tcPr>
          <w:p>
            <w:pPr>
              <w:spacing w:after="0"/>
              <w:rPr>
                <w:sz w:val="17"/>
                <w:szCs w:val="17"/>
                <w:color w:val="auto"/>
              </w:rPr>
            </w:pPr>
          </w:p>
        </w:tc>
      </w:tr>
      <w:tr>
        <w:trPr>
          <w:trHeight w:val="247"/>
        </w:trPr>
        <w:tc>
          <w:tcPr>
            <w:tcW w:w="680" w:type="dxa"/>
            <w:vAlign w:val="bottom"/>
            <w:tcBorders>
              <w:lef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auto"/>
            </w:tcBorders>
          </w:tcPr>
          <w:p>
            <w:pPr>
              <w:spacing w:after="0"/>
              <w:rPr>
                <w:sz w:val="21"/>
                <w:szCs w:val="21"/>
                <w:color w:val="auto"/>
              </w:rPr>
            </w:pPr>
          </w:p>
        </w:tc>
      </w:tr>
      <w:tr>
        <w:trPr>
          <w:trHeight w:val="69"/>
        </w:trPr>
        <w:tc>
          <w:tcPr>
            <w:tcW w:w="680" w:type="dxa"/>
            <w:vAlign w:val="bottom"/>
            <w:tcBorders>
              <w:left w:val="single" w:sz="8" w:color="auto"/>
            </w:tcBorders>
          </w:tcPr>
          <w:p>
            <w:pPr>
              <w:spacing w:after="0"/>
              <w:rPr>
                <w:sz w:val="6"/>
                <w:szCs w:val="6"/>
                <w:color w:val="auto"/>
              </w:rPr>
            </w:pPr>
          </w:p>
        </w:tc>
        <w:tc>
          <w:tcPr>
            <w:tcW w:w="3040" w:type="dxa"/>
            <w:vAlign w:val="bottom"/>
            <w:tcBorders>
              <w:right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r>
      <w:tr>
        <w:trPr>
          <w:trHeight w:val="245"/>
        </w:trPr>
        <w:tc>
          <w:tcPr>
            <w:tcW w:w="680" w:type="dxa"/>
            <w:vAlign w:val="bottom"/>
            <w:tcBorders>
              <w:left w:val="single" w:sz="8" w:color="auto"/>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Votes</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Votes</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r>
      <w:tr>
        <w:trPr>
          <w:trHeight w:val="248"/>
        </w:trPr>
        <w:tc>
          <w:tcPr>
            <w:tcW w:w="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Receipt of the Report and Accounts</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406,482,347</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99.90%</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407,236</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0.10%</w:t>
            </w:r>
          </w:p>
        </w:tc>
        <w:tc>
          <w:tcPr>
            <w:tcW w:w="1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91.80%</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247,725</w:t>
            </w:r>
          </w:p>
        </w:tc>
      </w:tr>
      <w:tr>
        <w:trPr>
          <w:trHeight w:val="197"/>
        </w:trPr>
        <w:tc>
          <w:tcPr>
            <w:tcW w:w="680" w:type="dxa"/>
            <w:vAlign w:val="bottom"/>
            <w:tcBorders>
              <w:left w:val="single" w:sz="8" w:color="auto"/>
              <w:right w:val="single" w:sz="8" w:color="auto"/>
            </w:tcBorders>
          </w:tcPr>
          <w:p>
            <w:pPr>
              <w:ind w:left="40"/>
              <w:spacing w:after="0" w:line="197" w:lineRule="exact"/>
              <w:rPr>
                <w:sz w:val="20"/>
                <w:szCs w:val="20"/>
                <w:color w:val="auto"/>
              </w:rPr>
            </w:pPr>
            <w:r>
              <w:rPr>
                <w:rFonts w:ascii="Arial" w:cs="Arial" w:eastAsia="Arial" w:hAnsi="Arial"/>
                <w:sz w:val="18"/>
                <w:szCs w:val="18"/>
                <w:color w:val="auto"/>
              </w:rPr>
              <w:t>2</w:t>
            </w:r>
          </w:p>
        </w:tc>
        <w:tc>
          <w:tcPr>
            <w:tcW w:w="304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Approval of the Directors'</w:t>
            </w:r>
          </w:p>
        </w:tc>
        <w:tc>
          <w:tcPr>
            <w:tcW w:w="16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400,476,791</w:t>
            </w:r>
          </w:p>
        </w:tc>
        <w:tc>
          <w:tcPr>
            <w:tcW w:w="82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98.39%</w:t>
            </w:r>
          </w:p>
        </w:tc>
        <w:tc>
          <w:tcPr>
            <w:tcW w:w="138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6,538,197</w:t>
            </w:r>
          </w:p>
        </w:tc>
        <w:tc>
          <w:tcPr>
            <w:tcW w:w="9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1.61%</w:t>
            </w:r>
          </w:p>
        </w:tc>
        <w:tc>
          <w:tcPr>
            <w:tcW w:w="116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91.83%</w:t>
            </w:r>
          </w:p>
        </w:tc>
        <w:tc>
          <w:tcPr>
            <w:tcW w:w="11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122,320</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Remuneration Policy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3</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Approval of the Directors'</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403,059,719</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99.03%</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3,962,515</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0.97%</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91.83%</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115,074</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Remuneration Report</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4</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Election of Laurence Debroux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406,762,348</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99.93%</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268,359</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0.07%</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106,601</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5</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Election of Uvashni Raman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406,739,581</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99.93%</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289,245</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0.07%</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91.83%</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108,482</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6</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Robert Appleby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406,375,776</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99.84%</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655,756</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0.16%</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105,776</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7</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Manolo Arroyo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356,719,567</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87.77%</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49,710,058</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12.23%</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91.70%</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707,683</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8</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John Bryant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399,587,893</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98.17%</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7,440,596</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1.83%</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91.83%</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108,819</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9</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José Ignacio</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356,216,448</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87.64%</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50,230,043</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12.36%</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91.70%</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690,817</w:t>
            </w: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Comenge as a director of the</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10</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Sol Daurella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395,397,538</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97.19%</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11,432,067</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2.81%</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91.79%</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307,703</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ind w:left="40"/>
              <w:spacing w:after="0" w:line="191" w:lineRule="exact"/>
              <w:rPr>
                <w:sz w:val="20"/>
                <w:szCs w:val="20"/>
                <w:color w:val="auto"/>
              </w:rPr>
            </w:pPr>
            <w:r>
              <w:rPr>
                <w:rFonts w:ascii="Arial" w:cs="Arial" w:eastAsia="Arial" w:hAnsi="Arial"/>
                <w:sz w:val="18"/>
                <w:szCs w:val="18"/>
                <w:color w:val="auto"/>
              </w:rPr>
              <w:t>11</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Damian Gammell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406,099,818</w:t>
            </w:r>
          </w:p>
        </w:tc>
        <w:tc>
          <w:tcPr>
            <w:tcW w:w="82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99.77%</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943,569</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0.23%</w:t>
            </w:r>
          </w:p>
        </w:tc>
        <w:tc>
          <w:tcPr>
            <w:tcW w:w="11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93,921</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902"/>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20"/>
          </w:cols>
          <w:pgMar w:left="320" w:top="1440" w:right="359" w:bottom="1440" w:gutter="0" w:footer="0" w:header="0"/>
        </w:sectPr>
      </w:pPr>
    </w:p>
    <w:bookmarkStart w:id="2" w:name="page3"/>
    <w:bookmarkEnd w:id="2"/>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0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12</w:t>
            </w:r>
          </w:p>
        </w:tc>
        <w:tc>
          <w:tcPr>
            <w:tcW w:w="3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Re-election of Nathalie Gaveau as a</w:t>
            </w:r>
          </w:p>
        </w:tc>
        <w:tc>
          <w:tcPr>
            <w:tcW w:w="1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404,583,410</w:t>
            </w:r>
          </w:p>
        </w:tc>
        <w:tc>
          <w:tcPr>
            <w:tcW w:w="82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99.40%</w:t>
            </w: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2,429,902</w:t>
            </w:r>
          </w:p>
        </w:tc>
        <w:tc>
          <w:tcPr>
            <w:tcW w:w="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0.60%</w:t>
            </w:r>
          </w:p>
        </w:tc>
        <w:tc>
          <w:tcPr>
            <w:tcW w:w="116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91.83%</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123,996</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13</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Álvaro Gómez-Trénor</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403,977,573</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99.30%</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2,861,683</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0.70%</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91.79%</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298,052</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Aguilar as a 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14</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Mary Harris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399,637,873</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98.18%</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7,394,629</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1.82%</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104,806</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15</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Alfonso Líbano</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403,959,826</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99.29%</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2,878,878</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0.71%</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91.79%</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298,604</w:t>
            </w: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Daurella as a director of the</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16</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Nicolas Mirzayantz as</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403,996,474</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99.25%</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3,033,232</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0.75%</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107,602</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17</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Mark Price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403,545,563</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99.14%</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3,486,285</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0.86%</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105,460</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18</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Nancy Quan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403,837,610</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99.27%</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2,983,316</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0.73%</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91.79%</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316,382</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19</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Mario Rotllant Solá as</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402,930,232</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99.04%</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3,907,207</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0.96%</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91.79%</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299,869</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20</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Re-election of Dessi Temperley as 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406,551,287</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99.88%</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480,233</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0.12%</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91.84%</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105,788</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the Company</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8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Reappointment of the Auditor</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412,791,518</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99.89%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469,606</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0.11%</w:t>
            </w: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93.24%</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126,315</w:t>
            </w:r>
          </w:p>
        </w:tc>
      </w:tr>
      <w:tr>
        <w:trPr>
          <w:trHeight w:val="250"/>
        </w:trPr>
        <w:tc>
          <w:tcPr>
            <w:tcW w:w="68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Remuneration of the Auditor</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406,971,413</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99.99%</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60,935</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w:t>
            </w: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91.84%</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104,960</w:t>
            </w:r>
          </w:p>
        </w:tc>
      </w:tr>
      <w:tr>
        <w:trPr>
          <w:trHeight w:val="250"/>
        </w:trPr>
        <w:tc>
          <w:tcPr>
            <w:tcW w:w="68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Political donations</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405,971,063</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99.77%</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943,264</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0.23%</w:t>
            </w: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91.81%</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222,981</w:t>
            </w:r>
          </w:p>
        </w:tc>
      </w:tr>
      <w:tr>
        <w:trPr>
          <w:trHeight w:val="250"/>
        </w:trPr>
        <w:tc>
          <w:tcPr>
            <w:tcW w:w="68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Authority to allot new shares</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401,917,119</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98.74%</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5,114,455</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1.26%</w:t>
            </w: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91.84%</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105,734</w:t>
            </w:r>
          </w:p>
        </w:tc>
      </w:tr>
      <w:tr>
        <w:trPr>
          <w:trHeight w:val="197"/>
        </w:trPr>
        <w:tc>
          <w:tcPr>
            <w:tcW w:w="680" w:type="dxa"/>
            <w:vAlign w:val="bottom"/>
            <w:tcBorders>
              <w:left w:val="single" w:sz="8" w:color="auto"/>
              <w:right w:val="single" w:sz="8" w:color="auto"/>
            </w:tcBorders>
          </w:tcPr>
          <w:p>
            <w:pPr>
              <w:jc w:val="right"/>
              <w:ind w:right="350"/>
              <w:spacing w:after="0" w:line="197" w:lineRule="exact"/>
              <w:rPr>
                <w:sz w:val="20"/>
                <w:szCs w:val="20"/>
                <w:color w:val="auto"/>
              </w:rPr>
            </w:pPr>
            <w:r>
              <w:rPr>
                <w:rFonts w:ascii="Arial" w:cs="Arial" w:eastAsia="Arial" w:hAnsi="Arial"/>
                <w:sz w:val="18"/>
                <w:szCs w:val="18"/>
                <w:color w:val="auto"/>
              </w:rPr>
              <w:t>25</w:t>
            </w:r>
          </w:p>
        </w:tc>
        <w:tc>
          <w:tcPr>
            <w:tcW w:w="304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Waiver of mandatory offer provisions</w:t>
            </w:r>
          </w:p>
        </w:tc>
        <w:tc>
          <w:tcPr>
            <w:tcW w:w="16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177,687,226</w:t>
            </w:r>
          </w:p>
        </w:tc>
        <w:tc>
          <w:tcPr>
            <w:tcW w:w="820" w:type="dxa"/>
            <w:vAlign w:val="bottom"/>
            <w:tcBorders>
              <w:right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w w:val="98"/>
              </w:rPr>
              <w:t>75.39%</w:t>
            </w:r>
          </w:p>
        </w:tc>
        <w:tc>
          <w:tcPr>
            <w:tcW w:w="138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58,009,286</w:t>
            </w:r>
          </w:p>
        </w:tc>
        <w:tc>
          <w:tcPr>
            <w:tcW w:w="9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24.61%</w:t>
            </w:r>
          </w:p>
        </w:tc>
        <w:tc>
          <w:tcPr>
            <w:tcW w:w="1160" w:type="dxa"/>
            <w:vAlign w:val="bottom"/>
            <w:tcBorders>
              <w:right w:val="single" w:sz="8" w:color="auto"/>
            </w:tcBorders>
          </w:tcPr>
          <w:p>
            <w:pPr>
              <w:jc w:val="right"/>
              <w:ind w:right="450"/>
              <w:spacing w:after="0" w:line="197" w:lineRule="exact"/>
              <w:rPr>
                <w:sz w:val="20"/>
                <w:szCs w:val="20"/>
                <w:color w:val="auto"/>
              </w:rPr>
            </w:pPr>
            <w:r>
              <w:rPr>
                <w:rFonts w:ascii="Arial" w:cs="Arial" w:eastAsia="Arial" w:hAnsi="Arial"/>
                <w:sz w:val="18"/>
                <w:szCs w:val="18"/>
                <w:color w:val="auto"/>
                <w:w w:val="98"/>
              </w:rPr>
              <w:t>53.18%</w:t>
            </w:r>
          </w:p>
        </w:tc>
        <w:tc>
          <w:tcPr>
            <w:tcW w:w="1180" w:type="dxa"/>
            <w:vAlign w:val="bottom"/>
            <w:tcBorders>
              <w:right w:val="single" w:sz="8" w:color="auto"/>
            </w:tcBorders>
          </w:tcPr>
          <w:p>
            <w:pPr>
              <w:ind w:left="20"/>
              <w:spacing w:after="0" w:line="197" w:lineRule="exact"/>
              <w:rPr>
                <w:sz w:val="20"/>
                <w:szCs w:val="20"/>
                <w:color w:val="auto"/>
              </w:rPr>
            </w:pPr>
            <w:r>
              <w:rPr>
                <w:rFonts w:ascii="Arial" w:cs="Arial" w:eastAsia="Arial" w:hAnsi="Arial"/>
                <w:sz w:val="18"/>
                <w:szCs w:val="18"/>
                <w:color w:val="auto"/>
              </w:rPr>
              <w:t>171,440,796</w:t>
            </w: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set out in Rule 9 of the Takeover</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Code (see note 5)</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26</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Amendment to the Coca-Cola</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404,311,107</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99.35%</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2,663,411</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0.65%</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91.82%</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162,790</w:t>
            </w: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Europacific Partners plc Long Term</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Incentive Plan</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27</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General authority to disapply pre-</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405,902,986</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99.75%</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1,023,467</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0.25%</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91.81%</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210,855</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emption rights</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28</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General authority to disapply pre-</w:t>
            </w:r>
          </w:p>
        </w:tc>
        <w:tc>
          <w:tcPr>
            <w:tcW w:w="16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406,501,699</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99.88%</w:t>
            </w:r>
          </w:p>
        </w:tc>
        <w:tc>
          <w:tcPr>
            <w:tcW w:w="13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479,412</w:t>
            </w:r>
          </w:p>
        </w:tc>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0.12%</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91.82%</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156,197</w:t>
            </w: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emption rights in connection with an</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03"/>
        </w:trPr>
        <w:tc>
          <w:tcPr>
            <w:tcW w:w="6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acquisition or specified capital</w:t>
            </w:r>
          </w:p>
        </w:tc>
        <w:tc>
          <w:tcPr>
            <w:tcW w:w="16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investment</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902"/>
        </w:trPr>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3" w:name="page4"/>
    <w:bookmarkEnd w:id="3"/>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29</w:t>
            </w:r>
          </w:p>
        </w:tc>
        <w:tc>
          <w:tcPr>
            <w:tcW w:w="3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Authority to purchase own shares on</w:t>
            </w:r>
          </w:p>
        </w:tc>
        <w:tc>
          <w:tcPr>
            <w:tcW w:w="168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w w:val="97"/>
              </w:rPr>
              <w:t>403,732,454</w:t>
            </w:r>
          </w:p>
        </w:tc>
        <w:tc>
          <w:tcPr>
            <w:tcW w:w="82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8"/>
              </w:rPr>
              <w:t>99.21%</w:t>
            </w:r>
          </w:p>
        </w:tc>
        <w:tc>
          <w:tcPr>
            <w:tcW w:w="138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w w:val="97"/>
              </w:rPr>
              <w:t>3,208,970</w:t>
            </w:r>
          </w:p>
        </w:tc>
        <w:tc>
          <w:tcPr>
            <w:tcW w:w="98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w w:val="97"/>
              </w:rPr>
              <w:t>0.79%</w:t>
            </w:r>
          </w:p>
        </w:tc>
        <w:tc>
          <w:tcPr>
            <w:tcW w:w="116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8"/>
              </w:rPr>
              <w:t>91.82%</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195,884</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market</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30</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Authority to purchase own shares off</w:t>
            </w:r>
          </w:p>
        </w:tc>
        <w:tc>
          <w:tcPr>
            <w:tcW w:w="1680" w:type="dxa"/>
            <w:vAlign w:val="bottom"/>
            <w:tcBorders>
              <w:right w:val="single" w:sz="8" w:color="auto"/>
            </w:tcBorders>
          </w:tcPr>
          <w:p>
            <w:pPr>
              <w:jc w:val="right"/>
              <w:ind w:right="590"/>
              <w:spacing w:after="0" w:line="191" w:lineRule="exact"/>
              <w:rPr>
                <w:sz w:val="20"/>
                <w:szCs w:val="20"/>
                <w:color w:val="auto"/>
              </w:rPr>
            </w:pPr>
            <w:r>
              <w:rPr>
                <w:rFonts w:ascii="Arial" w:cs="Arial" w:eastAsia="Arial" w:hAnsi="Arial"/>
                <w:sz w:val="18"/>
                <w:szCs w:val="18"/>
                <w:color w:val="auto"/>
                <w:w w:val="97"/>
              </w:rPr>
              <w:t>403,713,015</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99.21%</w:t>
            </w:r>
          </w:p>
        </w:tc>
        <w:tc>
          <w:tcPr>
            <w:tcW w:w="1380" w:type="dxa"/>
            <w:vAlign w:val="bottom"/>
            <w:tcBorders>
              <w:right w:val="single" w:sz="8" w:color="auto"/>
            </w:tcBorders>
          </w:tcPr>
          <w:p>
            <w:pPr>
              <w:jc w:val="right"/>
              <w:ind w:right="490"/>
              <w:spacing w:after="0" w:line="191" w:lineRule="exact"/>
              <w:rPr>
                <w:sz w:val="20"/>
                <w:szCs w:val="20"/>
                <w:color w:val="auto"/>
              </w:rPr>
            </w:pPr>
            <w:r>
              <w:rPr>
                <w:rFonts w:ascii="Arial" w:cs="Arial" w:eastAsia="Arial" w:hAnsi="Arial"/>
                <w:sz w:val="18"/>
                <w:szCs w:val="18"/>
                <w:color w:val="auto"/>
                <w:w w:val="97"/>
              </w:rPr>
              <w:t>3,218,917</w:t>
            </w:r>
          </w:p>
        </w:tc>
        <w:tc>
          <w:tcPr>
            <w:tcW w:w="980" w:type="dxa"/>
            <w:vAlign w:val="bottom"/>
            <w:tcBorders>
              <w:right w:val="single" w:sz="8" w:color="auto"/>
            </w:tcBorders>
          </w:tcPr>
          <w:p>
            <w:pPr>
              <w:jc w:val="right"/>
              <w:ind w:right="370"/>
              <w:spacing w:after="0" w:line="191" w:lineRule="exact"/>
              <w:rPr>
                <w:sz w:val="20"/>
                <w:szCs w:val="20"/>
                <w:color w:val="auto"/>
              </w:rPr>
            </w:pPr>
            <w:r>
              <w:rPr>
                <w:rFonts w:ascii="Arial" w:cs="Arial" w:eastAsia="Arial" w:hAnsi="Arial"/>
                <w:sz w:val="18"/>
                <w:szCs w:val="18"/>
                <w:color w:val="auto"/>
                <w:w w:val="97"/>
              </w:rPr>
              <w:t>0.79%</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91.81%</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205,376</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market</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191"/>
        </w:trPr>
        <w:tc>
          <w:tcPr>
            <w:tcW w:w="680" w:type="dxa"/>
            <w:vAlign w:val="bottom"/>
            <w:tcBorders>
              <w:left w:val="single" w:sz="8" w:color="auto"/>
              <w:right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rPr>
              <w:t>31</w:t>
            </w:r>
          </w:p>
        </w:tc>
        <w:tc>
          <w:tcPr>
            <w:tcW w:w="30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Notice period for general meetings</w:t>
            </w:r>
          </w:p>
        </w:tc>
        <w:tc>
          <w:tcPr>
            <w:tcW w:w="1680" w:type="dxa"/>
            <w:vAlign w:val="bottom"/>
            <w:tcBorders>
              <w:right w:val="single" w:sz="8" w:color="auto"/>
            </w:tcBorders>
          </w:tcPr>
          <w:p>
            <w:pPr>
              <w:jc w:val="right"/>
              <w:ind w:right="590"/>
              <w:spacing w:after="0" w:line="191" w:lineRule="exact"/>
              <w:rPr>
                <w:sz w:val="20"/>
                <w:szCs w:val="20"/>
                <w:color w:val="auto"/>
              </w:rPr>
            </w:pPr>
            <w:r>
              <w:rPr>
                <w:rFonts w:ascii="Arial" w:cs="Arial" w:eastAsia="Arial" w:hAnsi="Arial"/>
                <w:sz w:val="18"/>
                <w:szCs w:val="18"/>
                <w:color w:val="auto"/>
                <w:w w:val="97"/>
              </w:rPr>
              <w:t>399,762,665</w:t>
            </w:r>
          </w:p>
        </w:tc>
        <w:tc>
          <w:tcPr>
            <w:tcW w:w="820" w:type="dxa"/>
            <w:vAlign w:val="bottom"/>
            <w:tcBorders>
              <w:right w:val="single" w:sz="8" w:color="auto"/>
            </w:tcBorders>
          </w:tcPr>
          <w:p>
            <w:pPr>
              <w:jc w:val="right"/>
              <w:ind w:right="110"/>
              <w:spacing w:after="0" w:line="191" w:lineRule="exact"/>
              <w:rPr>
                <w:sz w:val="20"/>
                <w:szCs w:val="20"/>
                <w:color w:val="auto"/>
              </w:rPr>
            </w:pPr>
            <w:r>
              <w:rPr>
                <w:rFonts w:ascii="Arial" w:cs="Arial" w:eastAsia="Arial" w:hAnsi="Arial"/>
                <w:sz w:val="18"/>
                <w:szCs w:val="18"/>
                <w:color w:val="auto"/>
                <w:w w:val="98"/>
              </w:rPr>
              <w:t>98.22%</w:t>
            </w:r>
          </w:p>
        </w:tc>
        <w:tc>
          <w:tcPr>
            <w:tcW w:w="1380" w:type="dxa"/>
            <w:vAlign w:val="bottom"/>
            <w:tcBorders>
              <w:right w:val="single" w:sz="8" w:color="auto"/>
            </w:tcBorders>
          </w:tcPr>
          <w:p>
            <w:pPr>
              <w:jc w:val="right"/>
              <w:ind w:right="490"/>
              <w:spacing w:after="0" w:line="191" w:lineRule="exact"/>
              <w:rPr>
                <w:sz w:val="20"/>
                <w:szCs w:val="20"/>
                <w:color w:val="auto"/>
              </w:rPr>
            </w:pPr>
            <w:r>
              <w:rPr>
                <w:rFonts w:ascii="Arial" w:cs="Arial" w:eastAsia="Arial" w:hAnsi="Arial"/>
                <w:sz w:val="18"/>
                <w:szCs w:val="18"/>
                <w:color w:val="auto"/>
                <w:w w:val="97"/>
              </w:rPr>
              <w:t>7,261,540</w:t>
            </w:r>
          </w:p>
        </w:tc>
        <w:tc>
          <w:tcPr>
            <w:tcW w:w="980" w:type="dxa"/>
            <w:vAlign w:val="bottom"/>
            <w:tcBorders>
              <w:right w:val="single" w:sz="8" w:color="auto"/>
            </w:tcBorders>
          </w:tcPr>
          <w:p>
            <w:pPr>
              <w:jc w:val="right"/>
              <w:ind w:right="370"/>
              <w:spacing w:after="0" w:line="191" w:lineRule="exact"/>
              <w:rPr>
                <w:sz w:val="20"/>
                <w:szCs w:val="20"/>
                <w:color w:val="auto"/>
              </w:rPr>
            </w:pPr>
            <w:r>
              <w:rPr>
                <w:rFonts w:ascii="Arial" w:cs="Arial" w:eastAsia="Arial" w:hAnsi="Arial"/>
                <w:sz w:val="18"/>
                <w:szCs w:val="18"/>
                <w:color w:val="auto"/>
                <w:w w:val="97"/>
              </w:rPr>
              <w:t>1.78%</w:t>
            </w:r>
          </w:p>
        </w:tc>
        <w:tc>
          <w:tcPr>
            <w:tcW w:w="1160" w:type="dxa"/>
            <w:vAlign w:val="bottom"/>
            <w:tcBorders>
              <w:right w:val="single" w:sz="8" w:color="auto"/>
            </w:tcBorders>
          </w:tcPr>
          <w:p>
            <w:pPr>
              <w:jc w:val="right"/>
              <w:ind w:right="450"/>
              <w:spacing w:after="0" w:line="191" w:lineRule="exact"/>
              <w:rPr>
                <w:sz w:val="20"/>
                <w:szCs w:val="20"/>
                <w:color w:val="auto"/>
              </w:rPr>
            </w:pPr>
            <w:r>
              <w:rPr>
                <w:rFonts w:ascii="Arial" w:cs="Arial" w:eastAsia="Arial" w:hAnsi="Arial"/>
                <w:sz w:val="18"/>
                <w:szCs w:val="18"/>
                <w:color w:val="auto"/>
                <w:w w:val="98"/>
              </w:rPr>
              <w:t>91.83%</w:t>
            </w:r>
          </w:p>
        </w:tc>
        <w:tc>
          <w:tcPr>
            <w:tcW w:w="11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113,103</w:t>
            </w:r>
          </w:p>
        </w:tc>
      </w:tr>
      <w:tr>
        <w:trPr>
          <w:trHeight w:val="239"/>
        </w:trPr>
        <w:tc>
          <w:tcPr>
            <w:tcW w:w="680" w:type="dxa"/>
            <w:vAlign w:val="bottom"/>
            <w:tcBorders>
              <w:left w:val="single" w:sz="8" w:color="auto"/>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than annual general meetings</w:t>
            </w:r>
          </w:p>
        </w:tc>
        <w:tc>
          <w:tcPr>
            <w:tcW w:w="168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3"/>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316"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 xml:space="preserve">The results for the election and re-election of independent non-executive directors, excluding the votes cast by Olive Partners, S.A. as the Company’s </w:t>
      </w:r>
      <w:r>
        <w:rPr>
          <w:rFonts w:ascii="Arial" w:cs="Arial" w:eastAsia="Arial" w:hAnsi="Arial"/>
          <w:sz w:val="20"/>
          <w:szCs w:val="20"/>
          <w:i w:val="1"/>
          <w:iCs w:val="1"/>
          <w:color w:val="auto"/>
        </w:rPr>
        <w:t>controlling shareholder</w:t>
      </w:r>
      <w:r>
        <w:rPr>
          <w:rFonts w:ascii="Arial" w:cs="Arial" w:eastAsia="Arial" w:hAnsi="Arial"/>
          <w:sz w:val="20"/>
          <w:szCs w:val="20"/>
          <w:color w:val="auto"/>
        </w:rPr>
        <w:t>, are set out below (see note 4):</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220" w:type="dxa"/>
            <w:vAlign w:val="bottom"/>
            <w:tcBorders>
              <w:top w:val="single" w:sz="8" w:color="auto"/>
              <w:left w:val="single" w:sz="8" w:color="auto"/>
              <w:right w:val="single" w:sz="8" w:color="auto"/>
            </w:tcBorders>
            <w:gridSpan w:val="2"/>
          </w:tcPr>
          <w:p>
            <w:pPr>
              <w:ind w:left="40"/>
              <w:spacing w:after="0" w:line="197" w:lineRule="exact"/>
              <w:rPr>
                <w:sz w:val="20"/>
                <w:szCs w:val="20"/>
                <w:color w:val="auto"/>
              </w:rPr>
            </w:pPr>
            <w:r>
              <w:rPr>
                <w:rFonts w:ascii="Arial" w:cs="Arial" w:eastAsia="Arial" w:hAnsi="Arial"/>
                <w:sz w:val="18"/>
                <w:szCs w:val="18"/>
                <w:b w:val="1"/>
                <w:bCs w:val="1"/>
                <w:color w:val="auto"/>
              </w:rPr>
              <w:t>Resolution</w:t>
            </w:r>
          </w:p>
        </w:tc>
        <w:tc>
          <w:tcPr>
            <w:tcW w:w="160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b w:val="1"/>
                <w:bCs w:val="1"/>
                <w:color w:val="auto"/>
              </w:rPr>
              <w:t>For (see note 4)</w:t>
            </w: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right w:val="single" w:sz="8" w:color="auto"/>
            </w:tcBorders>
          </w:tcPr>
          <w:p>
            <w:pPr>
              <w:spacing w:after="0"/>
              <w:rPr>
                <w:sz w:val="17"/>
                <w:szCs w:val="17"/>
                <w:color w:val="auto"/>
              </w:rPr>
            </w:pPr>
          </w:p>
        </w:tc>
        <w:tc>
          <w:tcPr>
            <w:tcW w:w="2300" w:type="dxa"/>
            <w:vAlign w:val="bottom"/>
            <w:tcBorders>
              <w:top w:val="single" w:sz="8" w:color="auto"/>
              <w:right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Against (see note 4)</w:t>
            </w:r>
          </w:p>
        </w:tc>
        <w:tc>
          <w:tcPr>
            <w:tcW w:w="1600" w:type="dxa"/>
            <w:vAlign w:val="bottom"/>
            <w:tcBorders>
              <w:top w:val="single" w:sz="8" w:color="auto"/>
              <w:right w:val="single" w:sz="8" w:color="auto"/>
            </w:tcBorders>
          </w:tcPr>
          <w:p>
            <w:pPr>
              <w:ind w:left="20"/>
              <w:spacing w:after="0" w:line="197" w:lineRule="exact"/>
              <w:rPr>
                <w:sz w:val="20"/>
                <w:szCs w:val="20"/>
                <w:color w:val="auto"/>
              </w:rPr>
            </w:pPr>
            <w:r>
              <w:rPr>
                <w:rFonts w:ascii="Arial" w:cs="Arial" w:eastAsia="Arial" w:hAnsi="Arial"/>
                <w:sz w:val="18"/>
                <w:szCs w:val="18"/>
                <w:b w:val="1"/>
                <w:bCs w:val="1"/>
                <w:color w:val="auto"/>
              </w:rPr>
              <w:t>Issued share</w:t>
            </w:r>
          </w:p>
        </w:tc>
        <w:tc>
          <w:tcPr>
            <w:tcW w:w="1700" w:type="dxa"/>
            <w:vAlign w:val="bottom"/>
            <w:tcBorders>
              <w:top w:val="single" w:sz="8" w:color="auto"/>
              <w:right w:val="single" w:sz="8" w:color="auto"/>
            </w:tcBorders>
          </w:tcPr>
          <w:p>
            <w:pPr>
              <w:ind w:left="20"/>
              <w:spacing w:after="0" w:line="197" w:lineRule="exact"/>
              <w:rPr>
                <w:sz w:val="20"/>
                <w:szCs w:val="20"/>
                <w:color w:val="auto"/>
              </w:rPr>
            </w:pPr>
            <w:r>
              <w:rPr>
                <w:rFonts w:ascii="Arial" w:cs="Arial" w:eastAsia="Arial" w:hAnsi="Arial"/>
                <w:sz w:val="18"/>
                <w:szCs w:val="18"/>
                <w:b w:val="1"/>
                <w:bCs w:val="1"/>
                <w:color w:val="auto"/>
              </w:rPr>
              <w:t>Votes withheld</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capital</w:t>
            </w:r>
          </w:p>
        </w:tc>
        <w:tc>
          <w:tcPr>
            <w:tcW w:w="17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(see note 3)</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represented by</w:t>
            </w: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900" w:type="dxa"/>
            <w:vAlign w:val="bottom"/>
            <w:tcBorders>
              <w:lef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votes%</w:t>
            </w:r>
          </w:p>
        </w:tc>
        <w:tc>
          <w:tcPr>
            <w:tcW w:w="17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900" w:type="dxa"/>
            <w:vAlign w:val="bottom"/>
            <w:tcBorders>
              <w:lef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Votes</w:t>
            </w: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Votes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right w:val="single" w:sz="8" w:color="auto"/>
            </w:tcBorders>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900" w:type="dxa"/>
            <w:vAlign w:val="bottom"/>
            <w:tcBorders>
              <w:left w:val="single" w:sz="8" w:color="auto"/>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4</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Election of Laurence</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240,633,362</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99.89%</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268,359</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0.11%</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106,601</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Debroux 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5</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Election of Uvashni Raman</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240,610,595</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99.88%</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289,245</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0.12%</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108,482</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6</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Re-election of Robert</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240,246,790</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99.73%</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655,756</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0.27%</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105,776</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Appleby 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8</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Re-election of John Bryant</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233,458,907</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96.91%</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7,440,596</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3.09%</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108,819</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12</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Re-election of Nathalie</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238,454,424</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98.99%</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2,429,902</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1.01%</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123,996</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Gaveau 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14</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Re-election of Mary Harris</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233,508,887</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96.93%</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7,394,629</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3.07%</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104,806</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as a director of the</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16</w:t>
            </w:r>
          </w:p>
        </w:tc>
        <w:tc>
          <w:tcPr>
            <w:tcW w:w="232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Re-election of Nicolas</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237,867,488</w:t>
            </w:r>
          </w:p>
        </w:tc>
        <w:tc>
          <w:tcPr>
            <w:tcW w:w="680" w:type="dxa"/>
            <w:vAlign w:val="bottom"/>
          </w:tcPr>
          <w:p>
            <w:pPr>
              <w:ind w:left="20"/>
              <w:spacing w:after="0" w:line="177" w:lineRule="exact"/>
              <w:rPr>
                <w:sz w:val="20"/>
                <w:szCs w:val="20"/>
                <w:color w:val="auto"/>
              </w:rPr>
            </w:pPr>
            <w:r>
              <w:rPr>
                <w:rFonts w:ascii="Arial" w:cs="Arial" w:eastAsia="Arial" w:hAnsi="Arial"/>
                <w:sz w:val="18"/>
                <w:szCs w:val="18"/>
                <w:color w:val="auto"/>
              </w:rPr>
              <w:t>98.74%</w:t>
            </w:r>
          </w:p>
        </w:tc>
        <w:tc>
          <w:tcPr>
            <w:tcW w:w="1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3,033,232</w:t>
            </w:r>
          </w:p>
        </w:tc>
        <w:tc>
          <w:tcPr>
            <w:tcW w:w="94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1.26%</w:t>
            </w:r>
          </w:p>
        </w:tc>
        <w:tc>
          <w:tcPr>
            <w:tcW w:w="16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54.35%</w:t>
            </w:r>
          </w:p>
        </w:tc>
        <w:tc>
          <w:tcPr>
            <w:tcW w:w="17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107,602</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Mirzayantz as a director of</w:t>
            </w:r>
          </w:p>
        </w:tc>
        <w:tc>
          <w:tcPr>
            <w:tcW w:w="160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160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8"/>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2"/>
          </w:tcPr>
          <w:p>
            <w:pPr>
              <w:jc w:val="right"/>
              <w:ind w:right="125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 w:name="page5"/>
    <w:bookmarkEnd w:id="4"/>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7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900" w:type="dxa"/>
            <w:vAlign w:val="bottom"/>
            <w:tcBorders>
              <w:top w:val="single" w:sz="8" w:color="auto"/>
              <w:left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17</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Re-election of Mark Price as</w:t>
            </w:r>
          </w:p>
        </w:tc>
        <w:tc>
          <w:tcPr>
            <w:tcW w:w="160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w w:val="99"/>
              </w:rPr>
              <w:t>237,416,577</w:t>
            </w:r>
          </w:p>
        </w:tc>
        <w:tc>
          <w:tcPr>
            <w:tcW w:w="84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w w:val="98"/>
              </w:rPr>
              <w:t>98.55%</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3,486,285</w:t>
            </w:r>
          </w:p>
        </w:tc>
        <w:tc>
          <w:tcPr>
            <w:tcW w:w="94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w w:val="97"/>
              </w:rPr>
              <w:t>1.45%</w:t>
            </w:r>
          </w:p>
        </w:tc>
        <w:tc>
          <w:tcPr>
            <w:tcW w:w="1600" w:type="dxa"/>
            <w:vAlign w:val="bottom"/>
            <w:tcBorders>
              <w:top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w w:val="98"/>
              </w:rPr>
              <w:t>54.35%</w:t>
            </w:r>
          </w:p>
        </w:tc>
        <w:tc>
          <w:tcPr>
            <w:tcW w:w="1700" w:type="dxa"/>
            <w:vAlign w:val="bottom"/>
            <w:tcBorders>
              <w:top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w w:val="98"/>
              </w:rPr>
              <w:t>105,460</w:t>
            </w: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director of the Company</w:t>
            </w:r>
          </w:p>
        </w:tc>
        <w:tc>
          <w:tcPr>
            <w:tcW w:w="16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3"/>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191"/>
        </w:trPr>
        <w:tc>
          <w:tcPr>
            <w:tcW w:w="900" w:type="dxa"/>
            <w:vAlign w:val="bottom"/>
            <w:tcBorders>
              <w:left w:val="single" w:sz="8" w:color="auto"/>
              <w:right w:val="single" w:sz="8" w:color="auto"/>
            </w:tcBorders>
          </w:tcPr>
          <w:p>
            <w:pPr>
              <w:jc w:val="right"/>
              <w:ind w:right="570"/>
              <w:spacing w:after="0" w:line="191" w:lineRule="exact"/>
              <w:rPr>
                <w:sz w:val="20"/>
                <w:szCs w:val="20"/>
                <w:color w:val="auto"/>
              </w:rPr>
            </w:pPr>
            <w:r>
              <w:rPr>
                <w:rFonts w:ascii="Arial" w:cs="Arial" w:eastAsia="Arial" w:hAnsi="Arial"/>
                <w:sz w:val="18"/>
                <w:szCs w:val="18"/>
                <w:color w:val="auto"/>
              </w:rPr>
              <w:t>20</w:t>
            </w:r>
          </w:p>
        </w:tc>
        <w:tc>
          <w:tcPr>
            <w:tcW w:w="232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Re-election of Dessi</w:t>
            </w:r>
          </w:p>
        </w:tc>
        <w:tc>
          <w:tcPr>
            <w:tcW w:w="1600" w:type="dxa"/>
            <w:vAlign w:val="bottom"/>
            <w:tcBorders>
              <w:right w:val="single" w:sz="8" w:color="auto"/>
            </w:tcBorders>
          </w:tcPr>
          <w:p>
            <w:pPr>
              <w:jc w:val="right"/>
              <w:ind w:right="490"/>
              <w:spacing w:after="0" w:line="191" w:lineRule="exact"/>
              <w:rPr>
                <w:sz w:val="20"/>
                <w:szCs w:val="20"/>
                <w:color w:val="auto"/>
              </w:rPr>
            </w:pPr>
            <w:r>
              <w:rPr>
                <w:rFonts w:ascii="Arial" w:cs="Arial" w:eastAsia="Arial" w:hAnsi="Arial"/>
                <w:sz w:val="18"/>
                <w:szCs w:val="18"/>
                <w:color w:val="auto"/>
                <w:w w:val="99"/>
              </w:rPr>
              <w:t>240,422,301</w:t>
            </w:r>
          </w:p>
        </w:tc>
        <w:tc>
          <w:tcPr>
            <w:tcW w:w="840" w:type="dxa"/>
            <w:vAlign w:val="bottom"/>
            <w:tcBorders>
              <w:right w:val="single" w:sz="8" w:color="auto"/>
            </w:tcBorders>
          </w:tcPr>
          <w:p>
            <w:pPr>
              <w:jc w:val="right"/>
              <w:ind w:right="130"/>
              <w:spacing w:after="0" w:line="191" w:lineRule="exact"/>
              <w:rPr>
                <w:sz w:val="20"/>
                <w:szCs w:val="20"/>
                <w:color w:val="auto"/>
              </w:rPr>
            </w:pPr>
            <w:r>
              <w:rPr>
                <w:rFonts w:ascii="Arial" w:cs="Arial" w:eastAsia="Arial" w:hAnsi="Arial"/>
                <w:sz w:val="18"/>
                <w:szCs w:val="18"/>
                <w:color w:val="auto"/>
                <w:w w:val="98"/>
              </w:rPr>
              <w:t>99.80%</w:t>
            </w:r>
          </w:p>
        </w:tc>
        <w:tc>
          <w:tcPr>
            <w:tcW w:w="136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480,233</w:t>
            </w:r>
          </w:p>
        </w:tc>
        <w:tc>
          <w:tcPr>
            <w:tcW w:w="940" w:type="dxa"/>
            <w:vAlign w:val="bottom"/>
            <w:tcBorders>
              <w:right w:val="single" w:sz="8" w:color="auto"/>
            </w:tcBorders>
          </w:tcPr>
          <w:p>
            <w:pPr>
              <w:jc w:val="right"/>
              <w:ind w:right="330"/>
              <w:spacing w:after="0" w:line="191" w:lineRule="exact"/>
              <w:rPr>
                <w:sz w:val="20"/>
                <w:szCs w:val="20"/>
                <w:color w:val="auto"/>
              </w:rPr>
            </w:pPr>
            <w:r>
              <w:rPr>
                <w:rFonts w:ascii="Arial" w:cs="Arial" w:eastAsia="Arial" w:hAnsi="Arial"/>
                <w:sz w:val="18"/>
                <w:szCs w:val="18"/>
                <w:color w:val="auto"/>
                <w:w w:val="97"/>
              </w:rPr>
              <w:t>0.20%</w:t>
            </w:r>
          </w:p>
        </w:tc>
        <w:tc>
          <w:tcPr>
            <w:tcW w:w="1600" w:type="dxa"/>
            <w:vAlign w:val="bottom"/>
            <w:tcBorders>
              <w:right w:val="single" w:sz="8" w:color="auto"/>
            </w:tcBorders>
          </w:tcPr>
          <w:p>
            <w:pPr>
              <w:jc w:val="right"/>
              <w:ind w:right="890"/>
              <w:spacing w:after="0" w:line="191" w:lineRule="exact"/>
              <w:rPr>
                <w:sz w:val="20"/>
                <w:szCs w:val="20"/>
                <w:color w:val="auto"/>
              </w:rPr>
            </w:pPr>
            <w:r>
              <w:rPr>
                <w:rFonts w:ascii="Arial" w:cs="Arial" w:eastAsia="Arial" w:hAnsi="Arial"/>
                <w:sz w:val="18"/>
                <w:szCs w:val="18"/>
                <w:color w:val="auto"/>
                <w:w w:val="98"/>
              </w:rPr>
              <w:t>54.35%</w:t>
            </w:r>
          </w:p>
        </w:tc>
        <w:tc>
          <w:tcPr>
            <w:tcW w:w="1700" w:type="dxa"/>
            <w:vAlign w:val="bottom"/>
            <w:tcBorders>
              <w:right w:val="single" w:sz="8" w:color="auto"/>
            </w:tcBorders>
          </w:tcPr>
          <w:p>
            <w:pPr>
              <w:jc w:val="right"/>
              <w:ind w:right="950"/>
              <w:spacing w:after="0" w:line="191" w:lineRule="exact"/>
              <w:rPr>
                <w:sz w:val="20"/>
                <w:szCs w:val="20"/>
                <w:color w:val="auto"/>
              </w:rPr>
            </w:pPr>
            <w:r>
              <w:rPr>
                <w:rFonts w:ascii="Arial" w:cs="Arial" w:eastAsia="Arial" w:hAnsi="Arial"/>
                <w:sz w:val="18"/>
                <w:szCs w:val="18"/>
                <w:color w:val="auto"/>
                <w:w w:val="98"/>
              </w:rPr>
              <w:t>105,788</w:t>
            </w: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Temperley as a director of</w:t>
            </w:r>
          </w:p>
        </w:tc>
        <w:tc>
          <w:tcPr>
            <w:tcW w:w="16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r>
      <w:tr>
        <w:trPr>
          <w:trHeight w:val="239"/>
        </w:trPr>
        <w:tc>
          <w:tcPr>
            <w:tcW w:w="90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w:t>
            </w:r>
          </w:p>
        </w:tc>
        <w:tc>
          <w:tcPr>
            <w:tcW w:w="16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3"/>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1 Votes “For” and “Against” are expressed as a percentage of votes received.</w:t>
      </w:r>
    </w:p>
    <w:p>
      <w:pPr>
        <w:spacing w:after="0" w:line="44" w:lineRule="exact"/>
        <w:rPr>
          <w:sz w:val="20"/>
          <w:szCs w:val="20"/>
          <w:color w:val="auto"/>
        </w:rPr>
      </w:pPr>
    </w:p>
    <w:p>
      <w:pPr>
        <w:jc w:val="both"/>
        <w:ind w:left="620" w:right="40" w:hanging="155"/>
        <w:spacing w:after="0" w:line="239" w:lineRule="auto"/>
        <w:rPr>
          <w:sz w:val="20"/>
          <w:szCs w:val="20"/>
          <w:color w:val="auto"/>
        </w:rPr>
      </w:pPr>
      <w:r>
        <w:rPr>
          <w:rFonts w:ascii="Arial" w:cs="Arial" w:eastAsia="Arial" w:hAnsi="Arial"/>
          <w:sz w:val="22"/>
          <w:szCs w:val="22"/>
          <w:i w:val="1"/>
          <w:iCs w:val="1"/>
          <w:color w:val="auto"/>
        </w:rPr>
        <w:t>2 As at 11:30am on Tuesday 26 May 2026, the time by which shareholders who wanted to attend, speak and vote at the AGM must have been entered on the Company’s register of members, there were 443,217,637 ordinary shares in issue.</w:t>
      </w:r>
    </w:p>
    <w:p>
      <w:pPr>
        <w:spacing w:after="0" w:line="27" w:lineRule="exact"/>
        <w:rPr>
          <w:sz w:val="20"/>
          <w:szCs w:val="20"/>
          <w:color w:val="auto"/>
        </w:rPr>
      </w:pPr>
    </w:p>
    <w:p>
      <w:pPr>
        <w:jc w:val="both"/>
        <w:ind w:left="620" w:right="40" w:hanging="155"/>
        <w:spacing w:after="0" w:line="246" w:lineRule="auto"/>
        <w:rPr>
          <w:sz w:val="20"/>
          <w:szCs w:val="20"/>
          <w:color w:val="auto"/>
        </w:rPr>
      </w:pPr>
      <w:r>
        <w:rPr>
          <w:rFonts w:ascii="Arial" w:cs="Arial" w:eastAsia="Arial" w:hAnsi="Arial"/>
          <w:sz w:val="22"/>
          <w:szCs w:val="22"/>
          <w:i w:val="1"/>
          <w:iCs w:val="1"/>
          <w:color w:val="auto"/>
        </w:rPr>
        <w:t>3 A “Vote Withheld” is not a vote in law and is not counted in the calculation of the proportion of votes “For” or “Against” a resolution.</w:t>
      </w:r>
    </w:p>
    <w:p>
      <w:pPr>
        <w:spacing w:after="0" w:line="21" w:lineRule="exact"/>
        <w:rPr>
          <w:sz w:val="20"/>
          <w:szCs w:val="20"/>
          <w:color w:val="auto"/>
        </w:rPr>
      </w:pPr>
    </w:p>
    <w:p>
      <w:pPr>
        <w:jc w:val="both"/>
        <w:ind w:left="620" w:right="40" w:hanging="155"/>
        <w:spacing w:after="0" w:line="234" w:lineRule="auto"/>
        <w:rPr>
          <w:sz w:val="20"/>
          <w:szCs w:val="20"/>
          <w:color w:val="auto"/>
        </w:rPr>
      </w:pPr>
      <w:r>
        <w:rPr>
          <w:rFonts w:ascii="Arial" w:cs="Arial" w:eastAsia="Arial" w:hAnsi="Arial"/>
          <w:sz w:val="22"/>
          <w:szCs w:val="22"/>
          <w:i w:val="1"/>
          <w:iCs w:val="1"/>
          <w:color w:val="auto"/>
        </w:rPr>
        <w:t>4 Under the UK Listing Rules (the “UKLR”), Olive Partners, S.A. (“Olive”) is treated as a “controlling shareholder” of the Company (that is, it exercises or controls more than 30% of the voting rights of the Company). In accordance with UKLR 6.2.5R, the election and re-election of CCEP’s independent non-executive directors must be conducted in accordance with UKLR 6.2.8R and 6.2.9R. Accordingly, the votes by CCEP’s shareholders excluding Olive and its presumed concert parties (the “Independent Shareholders”) in respect of resolutions 4, 5, 6, 8, 12, 14, 16, 17 and 20 have been counted and set out separately to determine whether these resolutions have been approved by a majority of the Independent Shareholders.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5 Resolution 25 was put to the AGM as a resolution of the Independent Shareholders</w:t>
      </w:r>
    </w:p>
    <w:p>
      <w:pPr>
        <w:spacing w:after="0" w:line="346"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Resolution 25, being the ordinary resolution to approve the waiver by the Panel on Takeovers and Mergers under Rule 9 of the City Code on Takeovers and Mergers (the “</w:t>
      </w:r>
      <w:r>
        <w:rPr>
          <w:rFonts w:ascii="Arial" w:cs="Arial" w:eastAsia="Arial" w:hAnsi="Arial"/>
          <w:sz w:val="19"/>
          <w:szCs w:val="19"/>
          <w:b w:val="1"/>
          <w:bCs w:val="1"/>
          <w:color w:val="auto"/>
        </w:rPr>
        <w:t>Rule 9 Waiver</w:t>
      </w:r>
      <w:r>
        <w:rPr>
          <w:rFonts w:ascii="Arial" w:cs="Arial" w:eastAsia="Arial" w:hAnsi="Arial"/>
          <w:sz w:val="19"/>
          <w:szCs w:val="19"/>
          <w:color w:val="auto"/>
        </w:rPr>
        <w:t>”) in connection with the Company’s buyback programme, was duly passed by 75.39% of the votes cast by the Independent Shareholders with 24.61% of votes cast against. Resolution 25 is a standing agenda item at each Annual General Meeting to enable CCEP to exercise the authorities under resolution 29 to purchase its own shares on market and resolution 30 to purchase its own shares off market, which were both passed with majorities of 99.21%. This will enable CCEP to make use of the option to return value to shareholders through a possible future buyback programme. Had resolution 25 not been passed, the Company would not have been able to effect such buyback programmes, as explained in the Notice of AGM and also in the Letter to Shareholders issued via RNS on 18 May 2026.</w:t>
      </w:r>
    </w:p>
    <w:p>
      <w:pPr>
        <w:spacing w:after="0" w:line="204"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CCEP intends to continue to engage with ISS on their standing policy to generally recommend a vote against Rule 9 waivers, which we believe may be a contributing factor in influencing investor decisions in this regard. In addition, CCEP will continue to engage, in the normal course and as appropriate, with shareholders who did not support resolution 25 to understand the reasons for their vote against the proposal and to continue a transparent and constructive dialogue on this topic. In accordance with provision 4 of the UK Corporate Governance Code, the Company will publish an update on this</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1440" w:right="319" w:bottom="1440" w:gutter="0" w:footer="0" w:header="0"/>
        </w:sectPr>
      </w:pPr>
    </w:p>
    <w:bookmarkStart w:id="5" w:name="page6"/>
    <w:bookmarkEnd w:id="5"/>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0150" cy="814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1407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20"/>
          <w:szCs w:val="20"/>
          <w:color w:val="auto"/>
        </w:rPr>
        <w:t>engagement, in accordance with the UK Corporate Governance Code, within six months of the 2026 AGM and a final summary in the Company's Annual Report for the 2026 Financial Year.</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Olive is currently interested in 166,128,987 shares in the Company and the Rule 9 Waiver does not entitle Olive to be interested in a greater number of shares. The Rule 9 Waiver would allow Olive’s interest in shares as a percentage of the Company’s total shares to increase as a result of the exercise of the Company’s authorities to purchase its own shares, but only to the extent that the resulting interest of Olive, together with any concert parties, in the shares of the Company did not then exceed 41.4289%.</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accordance with UK Listing Rule 6.4.2R, copies of the resolutions that do not constitute ordinary business at an annual general meeting will be submitted to the National Storage Mechanism and will shortly be available for inspection at https://data.fca.org.uk/#/nsm/nationalstoragemechanism.</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080" w:type="dxa"/>
            <w:vAlign w:val="bottom"/>
          </w:tcPr>
          <w:p>
            <w:pPr>
              <w:spacing w:after="0"/>
              <w:rPr>
                <w:sz w:val="20"/>
                <w:szCs w:val="20"/>
                <w:color w:val="auto"/>
              </w:rPr>
            </w:pPr>
            <w:r>
              <w:rPr>
                <w:rFonts w:ascii="Arial" w:cs="Arial" w:eastAsia="Arial" w:hAnsi="Arial"/>
                <w:sz w:val="22"/>
                <w:szCs w:val="22"/>
                <w:b w:val="1"/>
                <w:bCs w:val="1"/>
                <w:color w:val="auto"/>
              </w:rPr>
              <w:t>CONTACTS</w:t>
            </w:r>
          </w:p>
        </w:tc>
        <w:tc>
          <w:tcPr>
            <w:tcW w:w="3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43"/>
        </w:trPr>
        <w:tc>
          <w:tcPr>
            <w:tcW w:w="308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Company Secretariat</w:t>
            </w:r>
          </w:p>
        </w:tc>
        <w:tc>
          <w:tcPr>
            <w:tcW w:w="3540" w:type="dxa"/>
            <w:vAlign w:val="bottom"/>
          </w:tcPr>
          <w:p>
            <w:pPr>
              <w:ind w:left="640"/>
              <w:spacing w:after="0" w:line="243" w:lineRule="exact"/>
              <w:rPr>
                <w:sz w:val="20"/>
                <w:szCs w:val="20"/>
                <w:color w:val="auto"/>
              </w:rPr>
            </w:pPr>
            <w:r>
              <w:rPr>
                <w:rFonts w:ascii="Arial" w:cs="Arial" w:eastAsia="Arial" w:hAnsi="Arial"/>
                <w:sz w:val="22"/>
                <w:szCs w:val="22"/>
                <w:b w:val="1"/>
                <w:bCs w:val="1"/>
                <w:color w:val="auto"/>
              </w:rPr>
              <w:t>Investor Relations</w:t>
            </w:r>
          </w:p>
        </w:tc>
        <w:tc>
          <w:tcPr>
            <w:tcW w:w="3200" w:type="dxa"/>
            <w:vAlign w:val="bottom"/>
          </w:tcPr>
          <w:p>
            <w:pPr>
              <w:ind w:left="820"/>
              <w:spacing w:after="0" w:line="243" w:lineRule="exact"/>
              <w:rPr>
                <w:sz w:val="20"/>
                <w:szCs w:val="20"/>
                <w:color w:val="auto"/>
              </w:rPr>
            </w:pPr>
            <w:r>
              <w:rPr>
                <w:rFonts w:ascii="Arial" w:cs="Arial" w:eastAsia="Arial" w:hAnsi="Arial"/>
                <w:sz w:val="22"/>
                <w:szCs w:val="22"/>
                <w:b w:val="1"/>
                <w:bCs w:val="1"/>
                <w:color w:val="auto"/>
              </w:rPr>
              <w:t>Media Relations</w:t>
            </w:r>
          </w:p>
        </w:tc>
      </w:tr>
      <w:tr>
        <w:trPr>
          <w:trHeight w:val="250"/>
        </w:trPr>
        <w:tc>
          <w:tcPr>
            <w:tcW w:w="3080" w:type="dxa"/>
            <w:vAlign w:val="bottom"/>
          </w:tcPr>
          <w:p>
            <w:pPr>
              <w:ind w:left="20"/>
              <w:spacing w:after="0" w:line="250" w:lineRule="exact"/>
              <w:rPr>
                <w:sz w:val="20"/>
                <w:szCs w:val="20"/>
                <w:color w:val="auto"/>
              </w:rPr>
            </w:pPr>
            <w:r>
              <w:rPr>
                <w:rFonts w:ascii="Arial" w:cs="Arial" w:eastAsia="Arial" w:hAnsi="Arial"/>
                <w:sz w:val="22"/>
                <w:szCs w:val="22"/>
                <w:b w:val="1"/>
                <w:bCs w:val="1"/>
                <w:color w:val="auto"/>
              </w:rPr>
              <w:t>Svetlana Walker</w:t>
            </w:r>
          </w:p>
        </w:tc>
        <w:tc>
          <w:tcPr>
            <w:tcW w:w="3540" w:type="dxa"/>
            <w:vAlign w:val="bottom"/>
          </w:tcPr>
          <w:p>
            <w:pPr>
              <w:ind w:left="640"/>
              <w:spacing w:after="0" w:line="250" w:lineRule="exact"/>
              <w:rPr>
                <w:sz w:val="20"/>
                <w:szCs w:val="20"/>
                <w:color w:val="auto"/>
              </w:rPr>
            </w:pPr>
            <w:r>
              <w:rPr>
                <w:rFonts w:ascii="Arial" w:cs="Arial" w:eastAsia="Arial" w:hAnsi="Arial"/>
                <w:sz w:val="22"/>
                <w:szCs w:val="22"/>
                <w:b w:val="1"/>
                <w:bCs w:val="1"/>
                <w:color w:val="auto"/>
              </w:rPr>
              <w:t>Sarah Willett</w:t>
            </w:r>
          </w:p>
        </w:tc>
        <w:tc>
          <w:tcPr>
            <w:tcW w:w="3200" w:type="dxa"/>
            <w:vAlign w:val="bottom"/>
          </w:tcPr>
          <w:p>
            <w:pPr>
              <w:ind w:left="820"/>
              <w:spacing w:after="0" w:line="250" w:lineRule="exact"/>
              <w:rPr>
                <w:sz w:val="20"/>
                <w:szCs w:val="20"/>
                <w:color w:val="auto"/>
              </w:rPr>
            </w:pPr>
            <w:r>
              <w:rPr>
                <w:rFonts w:ascii="Arial" w:cs="Arial" w:eastAsia="Arial" w:hAnsi="Arial"/>
                <w:sz w:val="22"/>
                <w:szCs w:val="22"/>
                <w:b w:val="1"/>
                <w:bCs w:val="1"/>
                <w:color w:val="auto"/>
              </w:rPr>
              <w:t>Shanna Wendt</w:t>
            </w:r>
          </w:p>
        </w:tc>
      </w:tr>
      <w:tr>
        <w:trPr>
          <w:trHeight w:val="261"/>
        </w:trPr>
        <w:tc>
          <w:tcPr>
            <w:tcW w:w="3080" w:type="dxa"/>
            <w:vAlign w:val="bottom"/>
          </w:tcPr>
          <w:p>
            <w:pPr>
              <w:ind w:left="20"/>
              <w:spacing w:after="0"/>
              <w:rPr>
                <w:sz w:val="20"/>
                <w:szCs w:val="20"/>
                <w:color w:val="auto"/>
              </w:rPr>
            </w:pPr>
            <w:r>
              <w:rPr>
                <w:rFonts w:ascii="Arial" w:cs="Arial" w:eastAsia="Arial" w:hAnsi="Arial"/>
                <w:sz w:val="20"/>
                <w:szCs w:val="20"/>
                <w:color w:val="auto"/>
              </w:rPr>
              <w:t>svetlana.walker@ccep.com</w:t>
            </w:r>
          </w:p>
        </w:tc>
        <w:tc>
          <w:tcPr>
            <w:tcW w:w="3540" w:type="dxa"/>
            <w:vAlign w:val="bottom"/>
          </w:tcPr>
          <w:p>
            <w:pPr>
              <w:ind w:left="640"/>
              <w:spacing w:after="0"/>
              <w:rPr>
                <w:sz w:val="20"/>
                <w:szCs w:val="20"/>
                <w:color w:val="auto"/>
              </w:rPr>
            </w:pPr>
            <w:r>
              <w:rPr>
                <w:rFonts w:ascii="Arial" w:cs="Arial" w:eastAsia="Arial" w:hAnsi="Arial"/>
                <w:sz w:val="20"/>
                <w:szCs w:val="20"/>
                <w:color w:val="auto"/>
              </w:rPr>
              <w:t>sarah.willett@ccep.com</w:t>
            </w:r>
          </w:p>
        </w:tc>
        <w:tc>
          <w:tcPr>
            <w:tcW w:w="3200" w:type="dxa"/>
            <w:vAlign w:val="bottom"/>
          </w:tcPr>
          <w:p>
            <w:pPr>
              <w:ind w:left="820"/>
              <w:spacing w:after="0"/>
              <w:rPr>
                <w:sz w:val="20"/>
                <w:szCs w:val="20"/>
                <w:color w:val="auto"/>
              </w:rPr>
            </w:pPr>
            <w:r>
              <w:rPr>
                <w:rFonts w:ascii="Arial" w:cs="Arial" w:eastAsia="Arial" w:hAnsi="Arial"/>
                <w:sz w:val="20"/>
                <w:szCs w:val="20"/>
                <w:color w:val="auto"/>
                <w:w w:val="97"/>
              </w:rPr>
              <w:t>mediaenquiries@ccep.com</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CCEP</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Coca-Cola Europacific Partners is one of the world’s leading consumer goods companies. We make, move and sell some of the world’s most loved brands – serving nearly 600 million consumers and helping over 4 million customers across 31 countries grow.</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combine the strength and scale of a large, multi-national business with an expert, local knowledge of the customers we serve and communities we support.</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 is currently listed on Euronext Amsterdam, NASDAQ, London Stock Exchange and on the Spanish Stock Exchanges, and a constituent of both the NASDAQ 100 and FTSE 100 indices, trading under the symbol CCEP (ISIN No. GB00BDCPN049).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CCEP, please visit www.cocacolaep.com and follow CCEP on LinkedIn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COCA-COLA EUROPACIFIC PARTNERS PLC</w:t>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500" w:type="dxa"/>
            <w:vAlign w:val="bottom"/>
          </w:tcPr>
          <w:p>
            <w:pPr>
              <w:spacing w:after="0"/>
              <w:rPr>
                <w:sz w:val="20"/>
                <w:szCs w:val="20"/>
                <w:color w:val="auto"/>
              </w:rPr>
            </w:pPr>
            <w:r>
              <w:rPr>
                <w:rFonts w:ascii="Arial" w:cs="Arial" w:eastAsia="Arial" w:hAnsi="Arial"/>
                <w:sz w:val="18"/>
                <w:szCs w:val="18"/>
                <w:color w:val="auto"/>
              </w:rPr>
              <w:t>Date: May 29, 2026</w:t>
            </w:r>
          </w:p>
        </w:tc>
        <w:tc>
          <w:tcPr>
            <w:tcW w:w="1640" w:type="dxa"/>
            <w:vAlign w:val="bottom"/>
          </w:tcPr>
          <w:p>
            <w:pPr>
              <w:ind w:left="9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Svetlana Walker</w:t>
            </w:r>
          </w:p>
        </w:tc>
      </w:tr>
      <w:tr>
        <w:trPr>
          <w:trHeight w:val="245"/>
        </w:trPr>
        <w:tc>
          <w:tcPr>
            <w:tcW w:w="2500" w:type="dxa"/>
            <w:vAlign w:val="bottom"/>
          </w:tcPr>
          <w:p>
            <w:pPr>
              <w:spacing w:after="0"/>
              <w:rPr>
                <w:sz w:val="21"/>
                <w:szCs w:val="21"/>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Svetlana Walker</w:t>
            </w:r>
          </w:p>
        </w:tc>
      </w:tr>
      <w:tr>
        <w:trPr>
          <w:trHeight w:val="239"/>
        </w:trPr>
        <w:tc>
          <w:tcPr>
            <w:tcW w:w="2500" w:type="dxa"/>
            <w:vAlign w:val="bottom"/>
          </w:tcPr>
          <w:p>
            <w:pPr>
              <w:spacing w:after="0"/>
              <w:rPr>
                <w:sz w:val="20"/>
                <w:szCs w:val="20"/>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General Counsel &amp;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2026-05-29T07:03:38Z</dcterms:created>
  <dcterms:modified xsi:type="dcterms:W3CDTF">2026-05-29T07:03:38Z</dcterms:modified>
</cp:coreProperties>
</file>