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24,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80"/>
        <w:jc w:val="left"/>
        <w:rPr>
          <w:rFonts w:ascii="Times New Roman;serif" w:hAnsi="Times New Roman;serif"/>
          <w:b/>
          <w:color w:val="000000"/>
          <w:sz w:val="24"/>
        </w:rPr>
      </w:pPr>
      <w:r>
        <w:rPr>
          <w:rFonts w:ascii="Times New Roman;serif" w:hAnsi="Times New Roman;serif"/>
          <w:b/>
          <w:color w:val="000000"/>
          <w:sz w:val="24"/>
        </w:rPr>
        <w:t>August 24, 2026</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 xml:space="preserve">Coca-Cola Europacific Partners plc (the “Company”) </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Transactions in Own Shares</w:t>
      </w:r>
    </w:p>
    <w:p>
      <w:pPr>
        <w:pStyle w:val="TextBody"/>
        <w:bidi w:val="0"/>
        <w:spacing w:before="0" w:after="0"/>
        <w:jc w:val="center"/>
        <w:rPr/>
      </w:pPr>
      <w:r>
        <w:rPr/>
      </w:r>
    </w:p>
    <w:p>
      <w:pPr>
        <w:pStyle w:val="TextBody"/>
        <w:bidi w:val="0"/>
        <w:spacing w:lineRule="auto" w:line="256" w:before="0" w:after="0"/>
        <w:jc w:val="left"/>
        <w:rPr/>
      </w:pPr>
      <w:r>
        <w:rPr>
          <w:rFonts w:ascii="Arial;sans-serif" w:hAnsi="Arial;sans-serif"/>
          <w:b w:val="false"/>
          <w:color w:val="000000"/>
          <w:sz w:val="22"/>
          <w:shd w:fill="FFFFFF" w:val="clear"/>
        </w:rPr>
        <w:t xml:space="preserve">The Company confirms that from 17 August 2026 up to and including 21 August 2026 it </w:t>
      </w:r>
      <w:r>
        <w:rPr>
          <w:rFonts w:ascii="Arial;sans-serif" w:hAnsi="Arial;sans-serif"/>
          <w:b w:val="false"/>
          <w:color w:val="000000"/>
          <w:sz w:val="22"/>
        </w:rPr>
        <w:t>purchased a total of: (i) 225,000 ordinary shares of EUR 0.01 ("</w:t>
      </w:r>
      <w:r>
        <w:rPr>
          <w:rFonts w:ascii="Arial;sans-serif" w:hAnsi="Arial;sans-serif"/>
          <w:b/>
          <w:color w:val="000000"/>
          <w:sz w:val="22"/>
        </w:rPr>
        <w:t>ordinary shares</w:t>
      </w:r>
      <w:r>
        <w:rPr>
          <w:rFonts w:ascii="Arial;sans-serif" w:hAnsi="Arial;sans-serif"/>
          <w:b w:val="false"/>
          <w:color w:val="000000"/>
          <w:sz w:val="22"/>
        </w:rPr>
        <w:t>") on the US Trading Venues</w:t>
      </w:r>
      <w:r>
        <w:rPr>
          <w:rFonts w:ascii="Arial;sans-serif" w:hAnsi="Arial;sans-serif"/>
          <w:b/>
          <w:color w:val="000000"/>
          <w:sz w:val="14"/>
        </w:rPr>
        <w:t>[1]</w:t>
      </w:r>
      <w:r>
        <w:rPr>
          <w:color w:val="000000"/>
        </w:rPr>
        <w:t xml:space="preserve"> </w:t>
      </w:r>
      <w:r>
        <w:rPr>
          <w:rFonts w:ascii="Arial;sans-serif" w:hAnsi="Arial;sans-serif"/>
          <w:b w:val="false"/>
          <w:color w:val="000000"/>
          <w:sz w:val="22"/>
        </w:rPr>
        <w:t>and (ii) 72,365 ordinary shares on the London Trading Venues</w:t>
      </w:r>
      <w:r>
        <w:rPr>
          <w:rFonts w:ascii="Arial;sans-serif" w:hAnsi="Arial;sans-serif"/>
          <w:b/>
          <w:color w:val="000000"/>
          <w:sz w:val="14"/>
        </w:rPr>
        <w:t>[2]</w:t>
      </w:r>
      <w:r>
        <w:rPr>
          <w:rFonts w:ascii="Arial;sans-serif" w:hAnsi="Arial;sans-serif"/>
          <w:b w:val="false"/>
          <w:color w:val="000000"/>
          <w:sz w:val="22"/>
        </w:rPr>
        <w:t>; in both cases, from Goldman Sachs &amp; Co. LLC, Goldman Sachs International or one of their affiliates, as detailed below.</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repurchased ordinary shares will be cancelled.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0"/>
        <w:gridCol w:w="325"/>
        <w:gridCol w:w="332"/>
        <w:gridCol w:w="821"/>
        <w:gridCol w:w="821"/>
        <w:gridCol w:w="824"/>
        <w:gridCol w:w="440"/>
        <w:gridCol w:w="431"/>
        <w:gridCol w:w="433"/>
        <w:gridCol w:w="664"/>
        <w:gridCol w:w="654"/>
        <w:gridCol w:w="657"/>
        <w:gridCol w:w="587"/>
        <w:gridCol w:w="587"/>
        <w:gridCol w:w="588"/>
        <w:gridCol w:w="550"/>
        <w:gridCol w:w="459"/>
        <w:gridCol w:w="66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Aggregate number of ordinary shares purchased</w:t>
            </w:r>
          </w:p>
        </w:tc>
        <w:tc>
          <w:tcPr>
            <w:tcW w:w="130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Highest price paid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(per ordinary share)</w:t>
            </w:r>
          </w:p>
        </w:tc>
        <w:tc>
          <w:tcPr>
            <w:tcW w:w="197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Lowest price paid (per ordinary share)</w:t>
            </w:r>
          </w:p>
        </w:tc>
        <w:tc>
          <w:tcPr>
            <w:tcW w:w="17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Volume weighted average price</w:t>
            </w:r>
          </w:p>
        </w:tc>
        <w:tc>
          <w:tcPr>
            <w:tcW w:w="167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Trading venue</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   </w:t>
            </w:r>
            <w:r>
              <w:rPr>
                <w:rFonts w:ascii="Arial;sans-serif" w:hAnsi="Arial;sans-serif"/>
                <w:b w:val="false"/>
                <w:color w:val="000000"/>
                <w:sz w:val="20"/>
              </w:rPr>
              <w:t>40,000</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106.7200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105.2400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105.8620</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12,500</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79.1000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77.7500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pPr>
            <w:r>
              <w:rPr>
                <w:rFonts w:ascii="Arial;sans-serif" w:hAnsi="Arial;sans-serif"/>
                <w:b w:val="false"/>
                <w:sz w:val="20"/>
              </w:rPr>
              <w:br/>
            </w:r>
            <w:r>
              <w:rPr>
                <w:rFonts w:ascii="Arial;sans-serif" w:hAnsi="Arial;sans-serif"/>
                <w:b w:val="false"/>
                <w:color w:val="000000"/>
                <w:sz w:val="20"/>
              </w:rPr>
              <w:t xml:space="preserve">GBP </w:t>
              <w:br/>
              <w:t>78.5596</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18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  </w:t>
            </w:r>
            <w:r>
              <w:rPr>
                <w:rFonts w:ascii="Arial;sans-serif" w:hAnsi="Arial;sans-serif"/>
                <w:b w:val="false"/>
                <w:color w:val="000000"/>
                <w:sz w:val="20"/>
              </w:rPr>
              <w:t>70,000</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108.2400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106.5400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w:t>
              <w:br/>
              <w:t>107.5734</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18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27,500</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79.8500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78.1000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79.0771</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18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2,500</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79.8500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78.1000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78.9012</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CBOE Europe Limited (CXE)</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108.5700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106.7900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107.6395</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9,865</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79.6500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78.7500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79.1491</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10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 August 2026</w:t>
            </w:r>
          </w:p>
        </w:tc>
        <w:tc>
          <w:tcPr>
            <w:tcW w:w="2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107.8300</w:t>
            </w:r>
          </w:p>
        </w:tc>
        <w:tc>
          <w:tcPr>
            <w:tcW w:w="19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106.3550</w:t>
            </w:r>
          </w:p>
        </w:tc>
        <w:tc>
          <w:tcPr>
            <w:tcW w:w="1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w:t>
              <w:br/>
              <w:t>107.1987</w:t>
            </w:r>
          </w:p>
        </w:tc>
        <w:tc>
          <w:tcPr>
            <w:tcW w:w="16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 August 2026</w:t>
            </w:r>
          </w:p>
        </w:tc>
        <w:tc>
          <w:tcPr>
            <w:tcW w:w="24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78.8500</w:t>
            </w:r>
          </w:p>
        </w:tc>
        <w:tc>
          <w:tcPr>
            <w:tcW w:w="19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78.0500</w:t>
            </w:r>
          </w:p>
        </w:tc>
        <w:tc>
          <w:tcPr>
            <w:tcW w:w="17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78.4302</w:t>
            </w:r>
          </w:p>
        </w:tc>
        <w:tc>
          <w:tcPr>
            <w:tcW w:w="167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spacing w:before="0" w:after="0"/>
        <w:jc w:val="left"/>
        <w:rPr/>
      </w:pPr>
      <w:r>
        <w:rPr/>
        <w:drawing>
          <wp:inline distT="0" distB="0" distL="0" distR="0">
            <wp:extent cx="1343025" cy="904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8548" w:type="dxa"/>
        <w:jc w:val="left"/>
        <w:tblInd w:w="0" w:type="dxa"/>
        <w:tblLayout w:type="fixed"/>
        <w:tblCellMar>
          <w:top w:w="28" w:type="dxa"/>
          <w:left w:w="28" w:type="dxa"/>
          <w:bottom w:w="28" w:type="dxa"/>
          <w:right w:w="28" w:type="dxa"/>
        </w:tblCellMar>
      </w:tblPr>
      <w:tblGrid>
        <w:gridCol w:w="537"/>
        <w:gridCol w:w="472"/>
        <w:gridCol w:w="476"/>
        <w:gridCol w:w="230"/>
        <w:gridCol w:w="230"/>
        <w:gridCol w:w="231"/>
        <w:gridCol w:w="454"/>
        <w:gridCol w:w="454"/>
        <w:gridCol w:w="456"/>
        <w:gridCol w:w="454"/>
        <w:gridCol w:w="454"/>
        <w:gridCol w:w="456"/>
        <w:gridCol w:w="454"/>
        <w:gridCol w:w="454"/>
        <w:gridCol w:w="456"/>
        <w:gridCol w:w="666"/>
        <w:gridCol w:w="666"/>
        <w:gridCol w:w="94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 August 2026</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50,000</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108.6200</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107.2300</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108.0048</w:t>
            </w:r>
          </w:p>
        </w:tc>
        <w:tc>
          <w:tcPr>
            <w:tcW w:w="22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4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 August 2026</w:t>
            </w:r>
          </w:p>
        </w:tc>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79.1000</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78.3500</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78.6270</w:t>
            </w:r>
          </w:p>
        </w:tc>
        <w:tc>
          <w:tcPr>
            <w:tcW w:w="22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2"/>
        </w:rPr>
        <w:t>The purchases form part of the Company's share buyback programme announced on 17 February 2026 (the "</w:t>
      </w:r>
      <w:r>
        <w:rPr>
          <w:rFonts w:ascii="Arial;sans-serif" w:hAnsi="Arial;sans-serif"/>
          <w:b/>
          <w:color w:val="000000"/>
          <w:sz w:val="22"/>
        </w:rPr>
        <w:t>Programme</w:t>
      </w:r>
      <w:r>
        <w:rPr>
          <w:rFonts w:ascii="Arial;sans-serif" w:hAnsi="Arial;sans-serif"/>
          <w:b w:val="false"/>
          <w:color w:val="000000"/>
          <w:sz w:val="22"/>
        </w:rPr>
        <w:t>"). In connection with the Programme, the Company expects to repurchase up to EUR 1 billion of ordinary shares (in aggregate).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Article 5(1)(b) of Regulation (EU) No 596/2014 as it applies in the UK (the Market Abuse Regulation), full details of the transactions, in aggregated and detailed form, are available through the link below:</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http://www.rns-pdf.londonstockexchange.com/rns/8881R_1-2026-8-24.pdf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CONTACTS</w:t>
      </w:r>
    </w:p>
    <w:p>
      <w:pPr>
        <w:pStyle w:val="TextBody"/>
        <w:bidi w:val="0"/>
        <w:spacing w:before="0" w:after="0"/>
        <w:jc w:val="left"/>
        <w:rPr/>
      </w:pPr>
      <w:r>
        <w:rPr/>
      </w:r>
    </w:p>
    <w:tbl>
      <w:tblPr>
        <w:tblW w:w="8748" w:type="dxa"/>
        <w:jc w:val="left"/>
        <w:tblInd w:w="0" w:type="dxa"/>
        <w:tblLayout w:type="fixed"/>
        <w:tblCellMar>
          <w:top w:w="28" w:type="dxa"/>
          <w:left w:w="28" w:type="dxa"/>
          <w:bottom w:w="28" w:type="dxa"/>
          <w:right w:w="28" w:type="dxa"/>
        </w:tblCellMar>
      </w:tblPr>
      <w:tblGrid>
        <w:gridCol w:w="1104"/>
        <w:gridCol w:w="970"/>
        <w:gridCol w:w="972"/>
        <w:gridCol w:w="880"/>
        <w:gridCol w:w="880"/>
        <w:gridCol w:w="881"/>
        <w:gridCol w:w="896"/>
        <w:gridCol w:w="896"/>
        <w:gridCol w:w="1269"/>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Company Secretariat</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Svetlana Walker</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svetlana.walker@ccep.com</w:t>
            </w:r>
          </w:p>
        </w:tc>
        <w:tc>
          <w:tcPr>
            <w:tcW w:w="26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Investor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Sarah Willett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sarah.willett@ccep.com</w:t>
            </w:r>
          </w:p>
        </w:tc>
        <w:tc>
          <w:tcPr>
            <w:tcW w:w="30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Media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Shanna Wendt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mediaenquiries@ccep.com</w:t>
            </w:r>
          </w:p>
        </w:tc>
      </w:tr>
    </w:tbl>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We combine the strength and scale of a large, multi-national business with an expert, local knowledge of the customers we serve and communities we support.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more information about CCEP, please visit www.cocacolaep.com and follow CCEP on LinkedIn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1" w:before="0" w:after="0"/>
        <w:jc w:val="left"/>
        <w:rPr/>
      </w:pPr>
      <w:r>
        <w:rPr>
          <w:rFonts w:ascii="Arial;sans-serif" w:hAnsi="Arial;sans-serif"/>
          <w:b/>
          <w:color w:val="000000"/>
          <w:sz w:val="14"/>
        </w:rPr>
        <w:t>[1]</w:t>
      </w:r>
      <w:r>
        <w:rPr>
          <w:color w:val="000000"/>
        </w:rPr>
        <w:t xml:space="preserve"> </w:t>
      </w:r>
      <w:r>
        <w:rPr>
          <w:rFonts w:ascii="Arial;sans-serif" w:hAnsi="Arial;sans-serif"/>
          <w:b w:val="false"/>
          <w:color w:val="000000"/>
          <w:sz w:val="16"/>
        </w:rPr>
        <w:t xml:space="preserve">The “US Trading Venues” comprise Nasdaq and other applicable US trading venues. </w:t>
      </w:r>
    </w:p>
    <w:p>
      <w:pPr>
        <w:pStyle w:val="TextBody"/>
        <w:bidi w:val="0"/>
        <w:spacing w:lineRule="auto" w:line="331" w:before="0" w:after="0"/>
        <w:jc w:val="left"/>
        <w:rPr/>
      </w:pPr>
      <w:r>
        <w:rPr>
          <w:rFonts w:ascii="Arial;sans-serif" w:hAnsi="Arial;sans-serif"/>
          <w:b/>
          <w:color w:val="000000"/>
          <w:sz w:val="14"/>
        </w:rPr>
        <w:t>[2]</w:t>
      </w:r>
      <w:r>
        <w:rPr>
          <w:color w:val="000000"/>
        </w:rPr>
        <w:t xml:space="preserve"> </w:t>
      </w:r>
      <w:r>
        <w:rPr>
          <w:rFonts w:ascii="Arial;sans-serif" w:hAnsi="Arial;sans-serif"/>
          <w:b w:val="false"/>
          <w:color w:val="000000"/>
          <w:sz w:val="16"/>
        </w:rPr>
        <w:t xml:space="preserve">The “London Trading Venues” comprise the London Stock Exchange, CBOE Europe Limited (BXE), CBOE Europe Limited (CXE) and Aquis. Goldman Sachs acquired CREST Depositary Interests on the London Trading Venues, which will be cancelled together with the underlying shares they represent.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631" w:type="dxa"/>
        <w:jc w:val="left"/>
        <w:tblInd w:w="0" w:type="dxa"/>
        <w:tblLayout w:type="fixed"/>
        <w:tblCellMar>
          <w:top w:w="28" w:type="dxa"/>
          <w:left w:w="28" w:type="dxa"/>
          <w:bottom w:w="28" w:type="dxa"/>
          <w:right w:w="28" w:type="dxa"/>
        </w:tblCellMar>
      </w:tblPr>
      <w:tblGrid>
        <w:gridCol w:w="749"/>
        <w:gridCol w:w="657"/>
        <w:gridCol w:w="664"/>
        <w:gridCol w:w="664"/>
        <w:gridCol w:w="664"/>
        <w:gridCol w:w="664"/>
        <w:gridCol w:w="1039"/>
        <w:gridCol w:w="1039"/>
        <w:gridCol w:w="1491"/>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24,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655</Words>
  <Characters>3643</Characters>
  <CharactersWithSpaces>4184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