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78"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361"/>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6-K</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Report of Foreign Private Issuer</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Rule 13a-16 or 15d-16</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July 20, 2026</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 001-37791</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9" w:after="362"/>
        <w:jc w:val="center"/>
        <w:rPr>
          <w:rFonts w:ascii="Times New Roman;serif" w:hAnsi="Times New Roman;serif"/>
          <w:b/>
          <w:color w:val="000000"/>
          <w:sz w:val="46"/>
        </w:rPr>
      </w:pPr>
      <w:r>
        <w:rPr>
          <w:rFonts w:ascii="Times New Roman;serif" w:hAnsi="Times New Roman;serif"/>
          <w:b/>
          <w:color w:val="000000"/>
          <w:sz w:val="46"/>
        </w:rPr>
        <w:t>COCA-COLA EUROPACIFIC PARTNERS PLC</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5" w:after="283"/>
        <w:jc w:val="center"/>
        <w:rPr>
          <w:rFonts w:ascii="Times New Roman;serif" w:hAnsi="Times New Roman;serif"/>
          <w:b/>
          <w:color w:val="000000"/>
          <w:sz w:val="20"/>
        </w:rPr>
      </w:pPr>
      <w:r>
        <w:rPr>
          <w:rFonts w:ascii="Times New Roman;serif" w:hAnsi="Times New Roman;serif"/>
          <w:b/>
          <w:color w:val="000000"/>
          <w:sz w:val="20"/>
        </w:rPr>
        <w:t>Pemberton House, Bakers Road</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Uxbridge, UB8 1EZ, United Kingdom</w:t>
      </w:r>
    </w:p>
    <w:p>
      <w:pPr>
        <w:pStyle w:val="TextBody"/>
        <w:bidi w:val="0"/>
        <w:spacing w:lineRule="auto" w:line="288" w:before="0" w:after="370"/>
        <w:jc w:val="center"/>
        <w:rPr>
          <w:rFonts w:ascii="Times New Roman;serif" w:hAnsi="Times New Roman;serif"/>
          <w:b/>
          <w:color w:val="000000"/>
          <w:sz w:val="16"/>
        </w:rPr>
      </w:pPr>
      <w:r>
        <w:rPr>
          <w:rFonts w:ascii="Times New Roman;serif" w:hAnsi="Times New Roman;serif"/>
          <w:b/>
          <w:color w:val="000000"/>
          <w:sz w:val="16"/>
        </w:rPr>
        <w:t>(Address of principal executive office)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90" w:after="283"/>
        <w:jc w:val="center"/>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files or will file annual reports under cover of Form 20-F or Form 40-F.)</w:t>
      </w:r>
    </w:p>
    <w:p>
      <w:pPr>
        <w:pStyle w:val="TextBody"/>
        <w:bidi w:val="0"/>
        <w:spacing w:lineRule="auto" w:line="288" w:before="290" w:after="283"/>
        <w:jc w:val="center"/>
        <w:rPr/>
      </w:pPr>
      <w:r>
        <w:rPr>
          <w:rFonts w:ascii="Times New Roman;serif" w:hAnsi="Times New Roman;serif"/>
          <w:b w:val="false"/>
          <w:color w:val="000000"/>
          <w:sz w:val="20"/>
        </w:rPr>
        <w:t xml:space="preserve">(Check One) Form 20-F </w:t>
      </w:r>
      <w:r>
        <w:rPr>
          <w:color w:val="000000"/>
        </w:rPr>
        <w:t xml:space="preserve">☒ </w:t>
      </w:r>
      <w:r>
        <w:rPr>
          <w:rFonts w:ascii="Times New Roman;serif" w:hAnsi="Times New Roman;serif"/>
          <w:b w:val="false"/>
          <w:color w:val="000000"/>
          <w:sz w:val="20"/>
        </w:rPr>
        <w:t xml:space="preserve">Form 40-F </w:t>
      </w:r>
      <w:r>
        <w:rPr>
          <w:rFonts w:ascii="Times New Roman;serif" w:hAnsi="Times New Roman;serif"/>
          <w:b w:val="false"/>
          <w:color w:val="000000"/>
          <w:sz w:val="22"/>
        </w:rPr>
        <w:t xml:space="preserve">D </w:t>
      </w:r>
      <w:r>
        <w:rPr>
          <w:color w:val="000000"/>
        </w:rPr>
        <w: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0"/>
        <w:jc w:val="left"/>
        <w:rPr/>
      </w:pPr>
      <w:r>
        <w:rPr/>
      </w:r>
    </w:p>
    <w:p>
      <w:pPr>
        <w:pStyle w:val="TextBody"/>
        <w:bidi w:val="0"/>
        <w:spacing w:before="0" w:after="0"/>
        <w:jc w:val="left"/>
        <w:rPr/>
      </w:pPr>
      <w:r>
        <w:rPr/>
        <w:drawing>
          <wp:inline distT="0" distB="0" distL="0" distR="0">
            <wp:extent cx="1343025" cy="904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43025" cy="904875"/>
                    </a:xfrm>
                    <a:prstGeom prst="rect">
                      <a:avLst/>
                    </a:prstGeom>
                  </pic:spPr>
                </pic:pic>
              </a:graphicData>
            </a:graphic>
          </wp:inline>
        </w:drawing>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280"/>
        <w:jc w:val="left"/>
        <w:rPr>
          <w:rFonts w:ascii="Times New Roman;serif" w:hAnsi="Times New Roman;serif"/>
          <w:b/>
          <w:color w:val="000000"/>
          <w:sz w:val="24"/>
        </w:rPr>
      </w:pPr>
      <w:r>
        <w:rPr>
          <w:rFonts w:ascii="Times New Roman;serif" w:hAnsi="Times New Roman;serif"/>
          <w:b/>
          <w:color w:val="000000"/>
          <w:sz w:val="24"/>
        </w:rPr>
        <w:t>July 20, 2026</w:t>
      </w:r>
    </w:p>
    <w:p>
      <w:pPr>
        <w:pStyle w:val="TextBody"/>
        <w:bidi w:val="0"/>
        <w:spacing w:lineRule="auto" w:line="256" w:before="0" w:after="0"/>
        <w:jc w:val="center"/>
        <w:rPr>
          <w:rFonts w:ascii="Arial;sans-serif" w:hAnsi="Arial;sans-serif"/>
          <w:b/>
          <w:color w:val="000000"/>
          <w:sz w:val="22"/>
        </w:rPr>
      </w:pPr>
      <w:r>
        <w:rPr>
          <w:rFonts w:ascii="Arial;sans-serif" w:hAnsi="Arial;sans-serif"/>
          <w:b/>
          <w:color w:val="000000"/>
          <w:sz w:val="22"/>
        </w:rPr>
        <w:t xml:space="preserve">Coca-Cola Europacific Partners plc (the “Company”) </w:t>
      </w:r>
    </w:p>
    <w:p>
      <w:pPr>
        <w:pStyle w:val="TextBody"/>
        <w:bidi w:val="0"/>
        <w:spacing w:lineRule="auto" w:line="256" w:before="0" w:after="0"/>
        <w:jc w:val="center"/>
        <w:rPr>
          <w:rFonts w:ascii="Arial;sans-serif" w:hAnsi="Arial;sans-serif"/>
          <w:b/>
          <w:color w:val="000000"/>
          <w:sz w:val="22"/>
        </w:rPr>
      </w:pPr>
      <w:r>
        <w:rPr>
          <w:rFonts w:ascii="Arial;sans-serif" w:hAnsi="Arial;sans-serif"/>
          <w:b/>
          <w:color w:val="000000"/>
          <w:sz w:val="22"/>
        </w:rPr>
        <w:t>Transactions in Own Shares</w:t>
      </w:r>
    </w:p>
    <w:p>
      <w:pPr>
        <w:pStyle w:val="TextBody"/>
        <w:bidi w:val="0"/>
        <w:spacing w:before="0" w:after="0"/>
        <w:jc w:val="center"/>
        <w:rPr/>
      </w:pPr>
      <w:r>
        <w:rPr/>
      </w:r>
    </w:p>
    <w:p>
      <w:pPr>
        <w:pStyle w:val="TextBody"/>
        <w:bidi w:val="0"/>
        <w:spacing w:lineRule="auto" w:line="256" w:before="0" w:after="0"/>
        <w:jc w:val="left"/>
        <w:rPr/>
      </w:pPr>
      <w:r>
        <w:rPr>
          <w:rFonts w:ascii="Arial;sans-serif" w:hAnsi="Arial;sans-serif"/>
          <w:b w:val="false"/>
          <w:color w:val="000000"/>
          <w:sz w:val="22"/>
          <w:shd w:fill="FFFFFF" w:val="clear"/>
        </w:rPr>
        <w:t xml:space="preserve">The Company confirms that from 13 July 2026 up to and including 17 July 2026 it </w:t>
      </w:r>
      <w:r>
        <w:rPr>
          <w:rFonts w:ascii="Arial;sans-serif" w:hAnsi="Arial;sans-serif"/>
          <w:b w:val="false"/>
          <w:color w:val="000000"/>
          <w:sz w:val="22"/>
        </w:rPr>
        <w:t>purchased a total of: (i) 165,000 ordinary shares of EUR 0.01 ("</w:t>
      </w:r>
      <w:r>
        <w:rPr>
          <w:rFonts w:ascii="Arial;sans-serif" w:hAnsi="Arial;sans-serif"/>
          <w:b/>
          <w:color w:val="000000"/>
          <w:sz w:val="22"/>
        </w:rPr>
        <w:t>ordinary shares</w:t>
      </w:r>
      <w:r>
        <w:rPr>
          <w:rFonts w:ascii="Arial;sans-serif" w:hAnsi="Arial;sans-serif"/>
          <w:b w:val="false"/>
          <w:color w:val="000000"/>
          <w:sz w:val="22"/>
        </w:rPr>
        <w:t>") on the US Trading Venues</w:t>
      </w:r>
      <w:r>
        <w:rPr>
          <w:rFonts w:ascii="Arial;sans-serif" w:hAnsi="Arial;sans-serif"/>
          <w:b/>
          <w:color w:val="000000"/>
          <w:sz w:val="14"/>
        </w:rPr>
        <w:t>[1]</w:t>
      </w:r>
      <w:r>
        <w:rPr>
          <w:color w:val="000000"/>
        </w:rPr>
        <w:t xml:space="preserve"> </w:t>
      </w:r>
      <w:r>
        <w:rPr>
          <w:rFonts w:ascii="Arial;sans-serif" w:hAnsi="Arial;sans-serif"/>
          <w:b w:val="false"/>
          <w:color w:val="000000"/>
          <w:sz w:val="22"/>
        </w:rPr>
        <w:t>and (ii) 62,762 ordinary shares on the London Trading Venues</w:t>
      </w:r>
      <w:r>
        <w:rPr>
          <w:rFonts w:ascii="Arial;sans-serif" w:hAnsi="Arial;sans-serif"/>
          <w:b/>
          <w:color w:val="000000"/>
          <w:sz w:val="14"/>
        </w:rPr>
        <w:t>[2]</w:t>
      </w:r>
      <w:r>
        <w:rPr>
          <w:rFonts w:ascii="Arial;sans-serif" w:hAnsi="Arial;sans-serif"/>
          <w:b w:val="false"/>
          <w:color w:val="000000"/>
          <w:sz w:val="22"/>
        </w:rPr>
        <w:t>; in both cases, from Goldman Sachs &amp; Co. LLC, Goldman Sachs International or one of their affiliates, as detailed below.</w:t>
      </w:r>
    </w:p>
    <w:p>
      <w:pPr>
        <w:pStyle w:val="TextBody"/>
        <w:bidi w:val="0"/>
        <w:spacing w:before="0" w:after="0"/>
        <w:jc w:val="both"/>
        <w:rPr/>
      </w:pPr>
      <w:r>
        <w:rPr/>
      </w:r>
    </w:p>
    <w:p>
      <w:pPr>
        <w:pStyle w:val="TextBody"/>
        <w:bidi w:val="0"/>
        <w:spacing w:lineRule="auto" w:line="256" w:before="0" w:after="0"/>
        <w:jc w:val="left"/>
        <w:rPr>
          <w:rFonts w:ascii="Arial;sans-serif" w:hAnsi="Arial;sans-serif"/>
          <w:b w:val="false"/>
          <w:color w:val="000000"/>
          <w:sz w:val="22"/>
        </w:rPr>
      </w:pPr>
      <w:r>
        <w:rPr>
          <w:rFonts w:ascii="Arial;sans-serif" w:hAnsi="Arial;sans-serif"/>
          <w:b w:val="false"/>
          <w:color w:val="000000"/>
          <w:sz w:val="22"/>
        </w:rPr>
        <w:t>The repurchased ordinary shares will be cancelled.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00"/>
        <w:gridCol w:w="263"/>
        <w:gridCol w:w="269"/>
        <w:gridCol w:w="859"/>
        <w:gridCol w:w="859"/>
        <w:gridCol w:w="862"/>
        <w:gridCol w:w="451"/>
        <w:gridCol w:w="443"/>
        <w:gridCol w:w="444"/>
        <w:gridCol w:w="693"/>
        <w:gridCol w:w="684"/>
        <w:gridCol w:w="687"/>
        <w:gridCol w:w="609"/>
        <w:gridCol w:w="609"/>
        <w:gridCol w:w="611"/>
        <w:gridCol w:w="516"/>
        <w:gridCol w:w="429"/>
        <w:gridCol w:w="617"/>
      </w:tblGrid>
      <w:tr>
        <w:trPr/>
        <w:tc>
          <w:tcPr>
            <w:tcW w:w="30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832"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20"/>
              </w:rPr>
            </w:pPr>
            <w:r>
              <w:rPr>
                <w:rFonts w:ascii="Arial;sans-serif" w:hAnsi="Arial;sans-serif"/>
                <w:b/>
                <w:color w:val="000000"/>
                <w:sz w:val="20"/>
              </w:rPr>
              <w:t>Date</w:t>
            </w:r>
          </w:p>
        </w:tc>
        <w:tc>
          <w:tcPr>
            <w:tcW w:w="258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68" w:before="0" w:after="0"/>
              <w:jc w:val="center"/>
              <w:rPr>
                <w:rFonts w:ascii="Arial;sans-serif" w:hAnsi="Arial;sans-serif"/>
                <w:b/>
                <w:color w:val="000000"/>
                <w:sz w:val="20"/>
              </w:rPr>
            </w:pPr>
            <w:r>
              <w:rPr>
                <w:rFonts w:ascii="Arial;sans-serif" w:hAnsi="Arial;sans-serif"/>
                <w:b/>
                <w:color w:val="000000"/>
                <w:sz w:val="20"/>
              </w:rPr>
              <w:t>Aggregate number of ordinary shares purchased</w:t>
            </w:r>
          </w:p>
        </w:tc>
        <w:tc>
          <w:tcPr>
            <w:tcW w:w="1338"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68" w:before="0" w:after="0"/>
              <w:jc w:val="center"/>
              <w:rPr>
                <w:rFonts w:ascii="Arial;sans-serif" w:hAnsi="Arial;sans-serif"/>
                <w:b/>
                <w:color w:val="000000"/>
                <w:sz w:val="20"/>
              </w:rPr>
            </w:pPr>
            <w:r>
              <w:rPr>
                <w:rFonts w:ascii="Arial;sans-serif" w:hAnsi="Arial;sans-serif"/>
                <w:b/>
                <w:color w:val="000000"/>
                <w:sz w:val="20"/>
              </w:rPr>
              <w:t>Highest price paid</w:t>
            </w:r>
          </w:p>
          <w:p>
            <w:pPr>
              <w:pStyle w:val="TableContents"/>
              <w:bidi w:val="0"/>
              <w:spacing w:lineRule="auto" w:line="268" w:before="0" w:after="0"/>
              <w:jc w:val="center"/>
              <w:rPr>
                <w:rFonts w:ascii="Arial;sans-serif" w:hAnsi="Arial;sans-serif"/>
                <w:b/>
                <w:color w:val="000000"/>
                <w:sz w:val="20"/>
              </w:rPr>
            </w:pPr>
            <w:r>
              <w:rPr>
                <w:rFonts w:ascii="Arial;sans-serif" w:hAnsi="Arial;sans-serif"/>
                <w:b/>
                <w:color w:val="000000"/>
                <w:sz w:val="20"/>
              </w:rPr>
              <w:t>(per ordinary share)</w:t>
            </w:r>
          </w:p>
        </w:tc>
        <w:tc>
          <w:tcPr>
            <w:tcW w:w="206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68" w:before="0" w:after="0"/>
              <w:jc w:val="center"/>
              <w:rPr>
                <w:rFonts w:ascii="Arial;sans-serif" w:hAnsi="Arial;sans-serif"/>
                <w:b/>
                <w:color w:val="000000"/>
                <w:sz w:val="20"/>
              </w:rPr>
            </w:pPr>
            <w:r>
              <w:rPr>
                <w:rFonts w:ascii="Arial;sans-serif" w:hAnsi="Arial;sans-serif"/>
                <w:b/>
                <w:color w:val="000000"/>
                <w:sz w:val="20"/>
              </w:rPr>
              <w:t>Lowest price paid (per ordinary share)</w:t>
            </w:r>
          </w:p>
        </w:tc>
        <w:tc>
          <w:tcPr>
            <w:tcW w:w="182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68" w:before="0" w:after="0"/>
              <w:jc w:val="center"/>
              <w:rPr>
                <w:rFonts w:ascii="Arial;sans-serif" w:hAnsi="Arial;sans-serif"/>
                <w:b/>
                <w:color w:val="000000"/>
                <w:sz w:val="20"/>
              </w:rPr>
            </w:pPr>
            <w:r>
              <w:rPr>
                <w:rFonts w:ascii="Arial;sans-serif" w:hAnsi="Arial;sans-serif"/>
                <w:b/>
                <w:color w:val="000000"/>
                <w:sz w:val="20"/>
              </w:rPr>
              <w:t>Volume weighted average price</w:t>
            </w:r>
          </w:p>
        </w:tc>
        <w:tc>
          <w:tcPr>
            <w:tcW w:w="1562"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68" w:before="0" w:after="0"/>
              <w:jc w:val="center"/>
              <w:rPr>
                <w:rFonts w:ascii="Arial;sans-serif" w:hAnsi="Arial;sans-serif"/>
                <w:b/>
                <w:color w:val="000000"/>
                <w:sz w:val="20"/>
              </w:rPr>
            </w:pPr>
            <w:r>
              <w:rPr>
                <w:rFonts w:ascii="Arial;sans-serif" w:hAnsi="Arial;sans-serif"/>
                <w:b/>
                <w:color w:val="000000"/>
                <w:sz w:val="20"/>
              </w:rPr>
              <w:t>Trading venue</w:t>
            </w:r>
          </w:p>
        </w:tc>
      </w:tr>
      <w:tr>
        <w:trPr/>
        <w:tc>
          <w:tcPr>
            <w:tcW w:w="83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13 July 2026</w:t>
            </w:r>
          </w:p>
        </w:tc>
        <w:tc>
          <w:tcPr>
            <w:tcW w:w="25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40,000</w:t>
            </w:r>
          </w:p>
        </w:tc>
        <w:tc>
          <w:tcPr>
            <w:tcW w:w="13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USD 107.3100</w:t>
            </w:r>
          </w:p>
        </w:tc>
        <w:tc>
          <w:tcPr>
            <w:tcW w:w="20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USD 105.5400</w:t>
            </w:r>
          </w:p>
        </w:tc>
        <w:tc>
          <w:tcPr>
            <w:tcW w:w="18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USD 106.1683</w:t>
            </w:r>
          </w:p>
        </w:tc>
        <w:tc>
          <w:tcPr>
            <w:tcW w:w="15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 Trading Venues</w:t>
            </w:r>
          </w:p>
        </w:tc>
      </w:tr>
      <w:tr>
        <w:trPr/>
        <w:tc>
          <w:tcPr>
            <w:tcW w:w="83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13 July 2026</w:t>
            </w:r>
          </w:p>
        </w:tc>
        <w:tc>
          <w:tcPr>
            <w:tcW w:w="25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11,873</w:t>
            </w:r>
          </w:p>
        </w:tc>
        <w:tc>
          <w:tcPr>
            <w:tcW w:w="13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GBP 80.1000</w:t>
            </w:r>
          </w:p>
        </w:tc>
        <w:tc>
          <w:tcPr>
            <w:tcW w:w="20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GBP 78.8000</w:t>
            </w:r>
          </w:p>
        </w:tc>
        <w:tc>
          <w:tcPr>
            <w:tcW w:w="18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GBP 79.2789</w:t>
            </w:r>
          </w:p>
        </w:tc>
        <w:tc>
          <w:tcPr>
            <w:tcW w:w="15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London Stock Exchange</w:t>
            </w:r>
          </w:p>
        </w:tc>
      </w:tr>
      <w:tr>
        <w:trPr/>
        <w:tc>
          <w:tcPr>
            <w:tcW w:w="83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14 July 2026</w:t>
            </w:r>
          </w:p>
        </w:tc>
        <w:tc>
          <w:tcPr>
            <w:tcW w:w="25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35,000</w:t>
            </w:r>
          </w:p>
        </w:tc>
        <w:tc>
          <w:tcPr>
            <w:tcW w:w="13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USD 107.0500</w:t>
            </w:r>
          </w:p>
        </w:tc>
        <w:tc>
          <w:tcPr>
            <w:tcW w:w="20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USD 105.2700</w:t>
            </w:r>
          </w:p>
        </w:tc>
        <w:tc>
          <w:tcPr>
            <w:tcW w:w="18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USD 105.8990</w:t>
            </w:r>
          </w:p>
        </w:tc>
        <w:tc>
          <w:tcPr>
            <w:tcW w:w="15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 Trading Venues</w:t>
            </w:r>
          </w:p>
        </w:tc>
      </w:tr>
      <w:tr>
        <w:trPr/>
        <w:tc>
          <w:tcPr>
            <w:tcW w:w="83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14 July 2026</w:t>
            </w:r>
          </w:p>
        </w:tc>
        <w:tc>
          <w:tcPr>
            <w:tcW w:w="25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12,000</w:t>
            </w:r>
          </w:p>
        </w:tc>
        <w:tc>
          <w:tcPr>
            <w:tcW w:w="13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GBP 79.8500</w:t>
            </w:r>
          </w:p>
        </w:tc>
        <w:tc>
          <w:tcPr>
            <w:tcW w:w="20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GBP 78.6000</w:t>
            </w:r>
          </w:p>
        </w:tc>
        <w:tc>
          <w:tcPr>
            <w:tcW w:w="18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GBP 79.2587</w:t>
            </w:r>
          </w:p>
        </w:tc>
        <w:tc>
          <w:tcPr>
            <w:tcW w:w="15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London Stock Exchange</w:t>
            </w:r>
          </w:p>
        </w:tc>
      </w:tr>
      <w:tr>
        <w:trPr/>
        <w:tc>
          <w:tcPr>
            <w:tcW w:w="83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15 July 2026</w:t>
            </w:r>
          </w:p>
        </w:tc>
        <w:tc>
          <w:tcPr>
            <w:tcW w:w="25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30,000</w:t>
            </w:r>
          </w:p>
        </w:tc>
        <w:tc>
          <w:tcPr>
            <w:tcW w:w="13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USD 105.9000</w:t>
            </w:r>
          </w:p>
        </w:tc>
        <w:tc>
          <w:tcPr>
            <w:tcW w:w="20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USD 104.3800</w:t>
            </w:r>
          </w:p>
        </w:tc>
        <w:tc>
          <w:tcPr>
            <w:tcW w:w="18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USD 105.2741</w:t>
            </w:r>
          </w:p>
        </w:tc>
        <w:tc>
          <w:tcPr>
            <w:tcW w:w="15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 Trading Venues</w:t>
            </w:r>
          </w:p>
        </w:tc>
      </w:tr>
      <w:tr>
        <w:trPr/>
        <w:tc>
          <w:tcPr>
            <w:tcW w:w="83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15 July 2026</w:t>
            </w:r>
          </w:p>
        </w:tc>
        <w:tc>
          <w:tcPr>
            <w:tcW w:w="25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12,000</w:t>
            </w:r>
          </w:p>
        </w:tc>
        <w:tc>
          <w:tcPr>
            <w:tcW w:w="13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GBP 78.6500</w:t>
            </w:r>
          </w:p>
        </w:tc>
        <w:tc>
          <w:tcPr>
            <w:tcW w:w="20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GBP 78.0500</w:t>
            </w:r>
          </w:p>
        </w:tc>
        <w:tc>
          <w:tcPr>
            <w:tcW w:w="18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GBP 78.4072</w:t>
            </w:r>
          </w:p>
        </w:tc>
        <w:tc>
          <w:tcPr>
            <w:tcW w:w="15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London Stock Exchange</w:t>
            </w:r>
          </w:p>
        </w:tc>
      </w:tr>
      <w:tr>
        <w:trPr/>
        <w:tc>
          <w:tcPr>
            <w:tcW w:w="83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16 July 2026</w:t>
            </w:r>
          </w:p>
        </w:tc>
        <w:tc>
          <w:tcPr>
            <w:tcW w:w="25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30,000</w:t>
            </w:r>
          </w:p>
        </w:tc>
        <w:tc>
          <w:tcPr>
            <w:tcW w:w="13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USD 106.8000</w:t>
            </w:r>
          </w:p>
        </w:tc>
        <w:tc>
          <w:tcPr>
            <w:tcW w:w="20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USD 103.0900</w:t>
            </w:r>
          </w:p>
        </w:tc>
        <w:tc>
          <w:tcPr>
            <w:tcW w:w="18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USD 105.6966</w:t>
            </w:r>
          </w:p>
        </w:tc>
        <w:tc>
          <w:tcPr>
            <w:tcW w:w="15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 Trading Venues</w:t>
            </w:r>
          </w:p>
        </w:tc>
      </w:tr>
      <w:tr>
        <w:trPr/>
        <w:tc>
          <w:tcPr>
            <w:tcW w:w="83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16 July 2026</w:t>
            </w:r>
          </w:p>
        </w:tc>
        <w:tc>
          <w:tcPr>
            <w:tcW w:w="25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12,000</w:t>
            </w:r>
          </w:p>
        </w:tc>
        <w:tc>
          <w:tcPr>
            <w:tcW w:w="13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GBP 79.0500</w:t>
            </w:r>
          </w:p>
        </w:tc>
        <w:tc>
          <w:tcPr>
            <w:tcW w:w="20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GBP 77.0500</w:t>
            </w:r>
          </w:p>
        </w:tc>
        <w:tc>
          <w:tcPr>
            <w:tcW w:w="18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GBP 78.0867</w:t>
            </w:r>
          </w:p>
        </w:tc>
        <w:tc>
          <w:tcPr>
            <w:tcW w:w="15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London Stock Exchange</w:t>
            </w:r>
          </w:p>
        </w:tc>
      </w:tr>
      <w:tr>
        <w:trPr/>
        <w:tc>
          <w:tcPr>
            <w:tcW w:w="83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17 July 2026</w:t>
            </w:r>
          </w:p>
        </w:tc>
        <w:tc>
          <w:tcPr>
            <w:tcW w:w="25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30,000</w:t>
            </w:r>
          </w:p>
        </w:tc>
        <w:tc>
          <w:tcPr>
            <w:tcW w:w="13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USD 107.3900</w:t>
            </w:r>
          </w:p>
        </w:tc>
        <w:tc>
          <w:tcPr>
            <w:tcW w:w="20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USD 103.7400</w:t>
            </w:r>
          </w:p>
        </w:tc>
        <w:tc>
          <w:tcPr>
            <w:tcW w:w="18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USD 105.5832</w:t>
            </w:r>
          </w:p>
        </w:tc>
        <w:tc>
          <w:tcPr>
            <w:tcW w:w="15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 Trading Venues</w:t>
            </w:r>
          </w:p>
        </w:tc>
      </w:tr>
      <w:tr>
        <w:trPr/>
        <w:tc>
          <w:tcPr>
            <w:tcW w:w="83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17 July 2026</w:t>
            </w:r>
          </w:p>
        </w:tc>
        <w:tc>
          <w:tcPr>
            <w:tcW w:w="258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14,889</w:t>
            </w:r>
          </w:p>
        </w:tc>
        <w:tc>
          <w:tcPr>
            <w:tcW w:w="133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GBP 79.9000</w:t>
            </w:r>
          </w:p>
        </w:tc>
        <w:tc>
          <w:tcPr>
            <w:tcW w:w="206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GBP 78.7000</w:t>
            </w:r>
          </w:p>
        </w:tc>
        <w:tc>
          <w:tcPr>
            <w:tcW w:w="182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GBP 79.4529</w:t>
            </w:r>
          </w:p>
        </w:tc>
        <w:tc>
          <w:tcPr>
            <w:tcW w:w="1562"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London Stock Exchange</w:t>
            </w:r>
          </w:p>
        </w:tc>
      </w:tr>
    </w:tbl>
    <w:p>
      <w:pPr>
        <w:pStyle w:val="TextBody"/>
        <w:bidi w:val="0"/>
        <w:jc w:val="center"/>
        <w:rPr/>
      </w:pPr>
      <w:r>
        <w:rPr/>
      </w:r>
    </w:p>
    <w:p>
      <w:pPr>
        <w:pStyle w:val="TextBody"/>
        <w:bidi w:val="0"/>
        <w:spacing w:before="0" w:after="0"/>
        <w:jc w:val="left"/>
        <w:rPr/>
      </w:pPr>
      <w:r>
        <w:rPr/>
        <w:drawing>
          <wp:inline distT="0" distB="0" distL="0" distR="0">
            <wp:extent cx="1343025" cy="904875"/>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1343025" cy="904875"/>
                    </a:xfrm>
                    <a:prstGeom prst="rect">
                      <a:avLst/>
                    </a:prstGeom>
                  </pic:spPr>
                </pic:pic>
              </a:graphicData>
            </a:graphic>
          </wp:inline>
        </w:drawing>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before="0" w:after="0"/>
        <w:jc w:val="both"/>
        <w:rPr/>
      </w:pPr>
      <w:r>
        <w:rPr/>
      </w:r>
    </w:p>
    <w:p>
      <w:pPr>
        <w:pStyle w:val="TextBody"/>
        <w:bidi w:val="0"/>
        <w:spacing w:lineRule="auto" w:line="256" w:before="0" w:after="0"/>
        <w:jc w:val="both"/>
        <w:rPr/>
      </w:pPr>
      <w:r>
        <w:rPr>
          <w:rFonts w:ascii="Arial;sans-serif" w:hAnsi="Arial;sans-serif"/>
          <w:b w:val="false"/>
          <w:color w:val="000000"/>
          <w:sz w:val="22"/>
        </w:rPr>
        <w:t>The purchases form part of the Company's share buyback programme announced on 17 February 2026 (the "</w:t>
      </w:r>
      <w:r>
        <w:rPr>
          <w:rFonts w:ascii="Arial;sans-serif" w:hAnsi="Arial;sans-serif"/>
          <w:b/>
          <w:color w:val="000000"/>
          <w:sz w:val="22"/>
        </w:rPr>
        <w:t>Programme</w:t>
      </w:r>
      <w:r>
        <w:rPr>
          <w:rFonts w:ascii="Arial;sans-serif" w:hAnsi="Arial;sans-serif"/>
          <w:b w:val="false"/>
          <w:color w:val="000000"/>
          <w:sz w:val="22"/>
        </w:rPr>
        <w:t>"). In connection with the Programme, the Company expects to repurchase up to EUR 1 billion of ordinary shares (in aggregate).</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In accordance with Article 5(1)(b) of Regulation (EU) No 596/2014 as it applies in the UK (the Market Abuse Regulation), full details of the transactions, in aggregated and detailed form, are available through the link below:</w:t>
      </w:r>
    </w:p>
    <w:p>
      <w:pPr>
        <w:pStyle w:val="TextBody"/>
        <w:bidi w:val="0"/>
        <w:spacing w:before="0" w:after="0"/>
        <w:jc w:val="left"/>
        <w:rPr/>
      </w:pPr>
      <w:r>
        <w:rPr/>
      </w:r>
    </w:p>
    <w:p>
      <w:pPr>
        <w:pStyle w:val="TextBody"/>
        <w:bidi w:val="0"/>
        <w:spacing w:lineRule="auto" w:line="256" w:before="0" w:after="0"/>
        <w:jc w:val="both"/>
        <w:rPr>
          <w:rFonts w:ascii="Arial;sans-serif" w:hAnsi="Arial;sans-serif"/>
          <w:b w:val="false"/>
          <w:color w:val="000000"/>
          <w:sz w:val="22"/>
          <w:shd w:fill="FFFFFF" w:val="clear"/>
        </w:rPr>
      </w:pPr>
      <w:r>
        <w:rPr>
          <w:rFonts w:ascii="Arial;sans-serif" w:hAnsi="Arial;sans-serif"/>
          <w:b w:val="false"/>
          <w:color w:val="000000"/>
          <w:sz w:val="22"/>
          <w:shd w:fill="FFFFFF" w:val="clear"/>
        </w:rPr>
        <w:t>http://www.rns-pdf.londonstockexchange.com/rns/0929N_1-2026-7-20.pdf</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CONTACTS</w:t>
      </w:r>
    </w:p>
    <w:p>
      <w:pPr>
        <w:pStyle w:val="TextBody"/>
        <w:bidi w:val="0"/>
        <w:spacing w:before="0" w:after="0"/>
        <w:jc w:val="left"/>
        <w:rPr/>
      </w:pPr>
      <w:r>
        <w:rPr/>
      </w:r>
    </w:p>
    <w:tbl>
      <w:tblPr>
        <w:tblW w:w="8748" w:type="dxa"/>
        <w:jc w:val="left"/>
        <w:tblInd w:w="0" w:type="dxa"/>
        <w:tblLayout w:type="fixed"/>
        <w:tblCellMar>
          <w:top w:w="28" w:type="dxa"/>
          <w:left w:w="28" w:type="dxa"/>
          <w:bottom w:w="28" w:type="dxa"/>
          <w:right w:w="28" w:type="dxa"/>
        </w:tblCellMar>
      </w:tblPr>
      <w:tblGrid>
        <w:gridCol w:w="1104"/>
        <w:gridCol w:w="970"/>
        <w:gridCol w:w="972"/>
        <w:gridCol w:w="880"/>
        <w:gridCol w:w="880"/>
        <w:gridCol w:w="881"/>
        <w:gridCol w:w="896"/>
        <w:gridCol w:w="896"/>
        <w:gridCol w:w="1269"/>
      </w:tblGrid>
      <w:tr>
        <w:trPr/>
        <w:tc>
          <w:tcPr>
            <w:tcW w:w="1104"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r>
      <w:tr>
        <w:trPr/>
        <w:tc>
          <w:tcPr>
            <w:tcW w:w="304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color w:val="000000"/>
                <w:sz w:val="24"/>
              </w:rPr>
            </w:pPr>
            <w:r>
              <w:rPr>
                <w:rFonts w:ascii="Arial;sans-serif" w:hAnsi="Arial;sans-serif"/>
                <w:b/>
                <w:color w:val="000000"/>
                <w:sz w:val="24"/>
              </w:rPr>
              <w:t>Company Secretariat</w:t>
            </w:r>
          </w:p>
          <w:p>
            <w:pPr>
              <w:pStyle w:val="TableContents"/>
              <w:bidi w:val="0"/>
              <w:spacing w:lineRule="auto" w:line="268" w:before="0" w:after="0"/>
              <w:jc w:val="left"/>
              <w:rPr>
                <w:rFonts w:ascii="Arial;sans-serif" w:hAnsi="Arial;sans-serif"/>
                <w:b/>
                <w:color w:val="000000"/>
                <w:sz w:val="24"/>
              </w:rPr>
            </w:pPr>
            <w:r>
              <w:rPr>
                <w:rFonts w:ascii="Arial;sans-serif" w:hAnsi="Arial;sans-serif"/>
                <w:b/>
                <w:color w:val="000000"/>
                <w:sz w:val="24"/>
              </w:rPr>
              <w:t>Svetlana Walker</w:t>
            </w:r>
          </w:p>
          <w:p>
            <w:pPr>
              <w:pStyle w:val="TableContents"/>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svetlana.walker@ccep.com</w:t>
            </w:r>
          </w:p>
        </w:tc>
        <w:tc>
          <w:tcPr>
            <w:tcW w:w="264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color w:val="000000"/>
                <w:sz w:val="24"/>
              </w:rPr>
            </w:pPr>
            <w:r>
              <w:rPr>
                <w:rFonts w:ascii="Arial;sans-serif" w:hAnsi="Arial;sans-serif"/>
                <w:b/>
                <w:color w:val="000000"/>
                <w:sz w:val="24"/>
              </w:rPr>
              <w:t>Investor Relations</w:t>
            </w:r>
          </w:p>
          <w:p>
            <w:pPr>
              <w:pStyle w:val="TableContents"/>
              <w:bidi w:val="0"/>
              <w:spacing w:lineRule="auto" w:line="268" w:before="0" w:after="0"/>
              <w:jc w:val="left"/>
              <w:rPr>
                <w:rFonts w:ascii="Arial;sans-serif" w:hAnsi="Arial;sans-serif"/>
                <w:b/>
                <w:color w:val="000000"/>
                <w:sz w:val="24"/>
              </w:rPr>
            </w:pPr>
            <w:r>
              <w:rPr>
                <w:rFonts w:ascii="Arial;sans-serif" w:hAnsi="Arial;sans-serif"/>
                <w:b/>
                <w:color w:val="000000"/>
                <w:sz w:val="24"/>
              </w:rPr>
              <w:t>Sarah Willett</w:t>
            </w:r>
          </w:p>
          <w:p>
            <w:pPr>
              <w:pStyle w:val="TableContents"/>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sarah.willett@ccep.com</w:t>
            </w:r>
          </w:p>
        </w:tc>
        <w:tc>
          <w:tcPr>
            <w:tcW w:w="306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color w:val="000000"/>
                <w:sz w:val="24"/>
              </w:rPr>
            </w:pPr>
            <w:r>
              <w:rPr>
                <w:rFonts w:ascii="Arial;sans-serif" w:hAnsi="Arial;sans-serif"/>
                <w:b/>
                <w:color w:val="000000"/>
                <w:sz w:val="24"/>
              </w:rPr>
              <w:t>Media Relations</w:t>
            </w:r>
          </w:p>
          <w:p>
            <w:pPr>
              <w:pStyle w:val="TableContents"/>
              <w:bidi w:val="0"/>
              <w:spacing w:lineRule="auto" w:line="268" w:before="0" w:after="0"/>
              <w:jc w:val="left"/>
              <w:rPr>
                <w:rFonts w:ascii="Arial;sans-serif" w:hAnsi="Arial;sans-serif"/>
                <w:b/>
                <w:color w:val="000000"/>
                <w:sz w:val="24"/>
              </w:rPr>
            </w:pPr>
            <w:r>
              <w:rPr>
                <w:rFonts w:ascii="Arial;sans-serif" w:hAnsi="Arial;sans-serif"/>
                <w:b/>
                <w:color w:val="000000"/>
                <w:sz w:val="24"/>
              </w:rPr>
              <w:t>Shanna Wendt</w:t>
            </w:r>
          </w:p>
          <w:p>
            <w:pPr>
              <w:pStyle w:val="TableContents"/>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mediaenquiries@ccep.com</w:t>
            </w:r>
          </w:p>
        </w:tc>
      </w:tr>
    </w:tbl>
    <w:p>
      <w:pPr>
        <w:pStyle w:val="TextBody"/>
        <w:bidi w:val="0"/>
        <w:spacing w:before="0" w:after="0"/>
        <w:jc w:val="left"/>
        <w:rPr/>
      </w:pPr>
      <w:r>
        <w:rPr/>
      </w:r>
    </w:p>
    <w:p>
      <w:pPr>
        <w:pStyle w:val="TextBody"/>
        <w:bidi w:val="0"/>
        <w:spacing w:lineRule="auto" w:line="256" w:before="0" w:after="0"/>
        <w:jc w:val="both"/>
        <w:rPr>
          <w:rFonts w:ascii="Arial;sans-serif" w:hAnsi="Arial;sans-serif"/>
          <w:b/>
          <w:color w:val="000000"/>
          <w:sz w:val="24"/>
        </w:rPr>
      </w:pPr>
      <w:r>
        <w:rPr>
          <w:rFonts w:ascii="Arial;sans-serif" w:hAnsi="Arial;sans-serif"/>
          <w:b/>
          <w:color w:val="000000"/>
          <w:sz w:val="24"/>
        </w:rPr>
        <w:t>ABOUT CCEP</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2"/>
        </w:rPr>
      </w:pPr>
      <w:r>
        <w:rPr>
          <w:rFonts w:ascii="Arial;sans-serif" w:hAnsi="Arial;sans-serif"/>
          <w:b w:val="false"/>
          <w:color w:val="000000"/>
          <w:sz w:val="22"/>
        </w:rPr>
        <w:t>Coca-Cola Europacific Partners is one of the world’s leading consumer goods companies. We make, move and sell some of the world’s most loved brands – serving nearly 600 million consumers and helping over 4 million customers across 31 countries grow.</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 xml:space="preserve">We combine the strength and scale of a large, multi-national business with an expert, local knowledge of the customers we serve and communities we support.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The Company is currently listed on Euronext Amsterdam, NASDAQ, London Stock Exchange and on the Spanish Stock Exchanges, and a constituent of both the NASDAQ 100 and FTSE 100 indices, trading under the symbol CCEP (ISIN No. GB00BDCPN049).</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2"/>
        </w:rPr>
      </w:pPr>
      <w:r>
        <w:rPr>
          <w:rFonts w:ascii="Arial;sans-serif" w:hAnsi="Arial;sans-serif"/>
          <w:b w:val="false"/>
          <w:color w:val="000000"/>
          <w:sz w:val="22"/>
        </w:rPr>
        <w:t>For more information about CCEP, please visit www.cocacolaep.com and follow CCEP on LinkedIn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1" w:before="0" w:after="0"/>
        <w:jc w:val="left"/>
        <w:rPr/>
      </w:pPr>
      <w:r>
        <w:rPr>
          <w:rFonts w:ascii="Arial;sans-serif" w:hAnsi="Arial;sans-serif"/>
          <w:b/>
          <w:color w:val="000000"/>
          <w:sz w:val="14"/>
        </w:rPr>
        <w:t>[1]</w:t>
      </w:r>
      <w:r>
        <w:rPr>
          <w:color w:val="000000"/>
        </w:rPr>
        <w:t xml:space="preserve"> </w:t>
      </w:r>
      <w:r>
        <w:rPr>
          <w:rFonts w:ascii="Arial;sans-serif" w:hAnsi="Arial;sans-serif"/>
          <w:b w:val="false"/>
          <w:color w:val="000000"/>
          <w:sz w:val="16"/>
        </w:rPr>
        <w:t xml:space="preserve">The “US Trading Venues” comprise Nasdaq and other applicable US trading venues. </w:t>
      </w:r>
    </w:p>
    <w:p>
      <w:pPr>
        <w:pStyle w:val="TextBody"/>
        <w:bidi w:val="0"/>
        <w:spacing w:lineRule="auto" w:line="331" w:before="0" w:after="0"/>
        <w:jc w:val="left"/>
        <w:rPr/>
      </w:pPr>
      <w:r>
        <w:rPr>
          <w:rFonts w:ascii="Arial;sans-serif" w:hAnsi="Arial;sans-serif"/>
          <w:b/>
          <w:color w:val="000000"/>
          <w:sz w:val="14"/>
        </w:rPr>
        <w:t>[2]</w:t>
      </w:r>
      <w:r>
        <w:rPr>
          <w:color w:val="000000"/>
        </w:rPr>
        <w:t xml:space="preserve"> </w:t>
      </w:r>
      <w:r>
        <w:rPr>
          <w:rFonts w:ascii="Arial;sans-serif" w:hAnsi="Arial;sans-serif"/>
          <w:b w:val="false"/>
          <w:color w:val="000000"/>
          <w:sz w:val="16"/>
        </w:rPr>
        <w:t xml:space="preserve">The “London Trading Venues” comprise the London Stock Exchange, CBOE Europe Limited (BXE), CBOE Europe Limited (CXE) and Aquis. Goldman Sachs acquired CREST Depositary Interests on the London Trading Venues, which will be cancelled together with the underlying shares they represent.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417" w:before="0" w:after="0"/>
        <w:jc w:val="center"/>
        <w:rPr>
          <w:rFonts w:ascii="Arial;sans-serif" w:hAnsi="Arial;sans-serif"/>
          <w:b/>
          <w:color w:val="000000"/>
          <w:sz w:val="20"/>
        </w:rPr>
      </w:pPr>
      <w:r>
        <w:rPr>
          <w:rFonts w:ascii="Arial;sans-serif" w:hAnsi="Arial;sans-serif"/>
          <w:b/>
          <w:color w:val="000000"/>
          <w:sz w:val="20"/>
        </w:rPr>
        <w:t>SIGNATURE</w:t>
      </w:r>
    </w:p>
    <w:p>
      <w:pPr>
        <w:pStyle w:val="TextBody"/>
        <w:bidi w:val="0"/>
        <w:spacing w:lineRule="auto" w:line="417" w:before="0" w:after="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7375" w:type="dxa"/>
        <w:jc w:val="left"/>
        <w:tblInd w:w="0" w:type="dxa"/>
        <w:tblLayout w:type="fixed"/>
        <w:tblCellMar>
          <w:top w:w="28" w:type="dxa"/>
          <w:left w:w="28" w:type="dxa"/>
          <w:bottom w:w="28" w:type="dxa"/>
          <w:right w:w="28" w:type="dxa"/>
        </w:tblCellMar>
      </w:tblPr>
      <w:tblGrid>
        <w:gridCol w:w="656"/>
        <w:gridCol w:w="576"/>
        <w:gridCol w:w="582"/>
        <w:gridCol w:w="664"/>
        <w:gridCol w:w="664"/>
        <w:gridCol w:w="664"/>
        <w:gridCol w:w="1039"/>
        <w:gridCol w:w="1039"/>
        <w:gridCol w:w="1491"/>
      </w:tblGrid>
      <w:tr>
        <w:trPr/>
        <w:tc>
          <w:tcPr>
            <w:tcW w:w="65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COCA-COLA EUROPACIFIC PARTNERS PLC</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(Registrant)</w:t>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July 20, 2026</w:t>
            </w:r>
          </w:p>
        </w:tc>
        <w:tc>
          <w:tcPr>
            <w:tcW w:w="19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56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/s/ Svetlana Walker</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35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Svetlana Walker</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Counsel &amp; Company Secretary</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1.pn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641</Words>
  <Characters>3545</Characters>
  <CharactersWithSpaces>4070</CharactersWithSpaces>
  <Paragraphs>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