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61"/>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Times New Roman;serif" w:hAnsi="Times New Roman;serif"/>
          <w:b/>
          <w:color w:val="000000"/>
          <w:sz w:val="46"/>
        </w:rPr>
      </w:pPr>
      <w:r>
        <w:rPr>
          <w:rFonts w:ascii="Times New Roman;serif" w:hAnsi="Times New Roman;serif"/>
          <w:b/>
          <w:color w:val="000000"/>
          <w:sz w:val="46"/>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Times New Roman;serif" w:hAnsi="Times New Roman;serif"/>
          <w:b/>
          <w:color w:val="000000"/>
          <w:sz w:val="20"/>
        </w:rPr>
      </w:pPr>
      <w:r>
        <w:rPr>
          <w:rFonts w:ascii="Times New Roman;serif" w:hAnsi="Times New Roman;serif"/>
          <w:b/>
          <w:color w:val="000000"/>
          <w:sz w:val="20"/>
        </w:rPr>
        <w:t>Pemberton House, Bakers Road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Uxbridge, UB8 1EZ, United Kingdom</w:t>
      </w:r>
    </w:p>
    <w:p>
      <w:pPr>
        <w:pStyle w:val="TextBody"/>
        <w:bidi w:val="0"/>
        <w:spacing w:lineRule="auto" w:line="288" w:before="0" w:after="37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90" w:after="283"/>
        <w:jc w:val="center"/>
        <w:rPr/>
      </w:pPr>
      <w:r>
        <w:rPr>
          <w:rFonts w:ascii="Times New Roman;serif" w:hAnsi="Times New Roman;serif"/>
          <w:b w:val="false"/>
          <w:color w:val="000000"/>
          <w:sz w:val="20"/>
        </w:rPr>
        <w:t xml:space="preserve">(Check One) Form 20-F </w:t>
      </w:r>
      <w:r>
        <w:rPr>
          <w:color w:val="000000"/>
        </w:rPr>
        <w:t xml:space="preserve">☒ </w:t>
      </w:r>
      <w:r>
        <w:rPr>
          <w:rFonts w:ascii="Times New Roman;serif" w:hAnsi="Times New Roman;serif"/>
          <w:b w:val="false"/>
          <w:color w:val="000000"/>
          <w:sz w:val="20"/>
        </w:rPr>
        <w:t xml:space="preserve">Form 40-F </w:t>
      </w:r>
      <w:r>
        <w:rPr>
          <w:rFonts w:ascii="Times New Roman;serif" w:hAnsi="Times New Roman;serif"/>
          <w:b w:val="false"/>
          <w:color w:val="000000"/>
          <w:sz w:val="22"/>
        </w:rPr>
        <w:t xml:space="preserve">D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0"/>
        <w:jc w:val="left"/>
        <w:rPr/>
      </w:pPr>
      <w:r>
        <w:rPr/>
      </w:r>
    </w:p>
    <w:p>
      <w:pPr>
        <w:pStyle w:val="TextBody"/>
        <w:bidi w:val="0"/>
        <w:spacing w:before="0" w:after="0"/>
        <w:jc w:val="left"/>
        <w:rPr/>
      </w:pPr>
      <w:r>
        <w:rPr/>
        <w:drawing>
          <wp:inline distT="0" distB="0" distL="0" distR="0">
            <wp:extent cx="134302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80"/>
        <w:jc w:val="left"/>
        <w:rPr>
          <w:rFonts w:ascii="Times New Roman;serif" w:hAnsi="Times New Roman;serif"/>
          <w:b/>
          <w:color w:val="000000"/>
          <w:sz w:val="24"/>
        </w:rPr>
      </w:pPr>
      <w:r>
        <w:rPr>
          <w:rFonts w:ascii="Times New Roman;serif" w:hAnsi="Times New Roman;serif"/>
          <w:b/>
          <w:color w:val="000000"/>
          <w:sz w:val="24"/>
        </w:rPr>
        <w:t>August 3, 2026</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 xml:space="preserve">Coca-Cola Europacific Partners plc (the “Company”) </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Transactions in Own Shares</w:t>
      </w:r>
    </w:p>
    <w:p>
      <w:pPr>
        <w:pStyle w:val="TextBody"/>
        <w:bidi w:val="0"/>
        <w:spacing w:before="0" w:after="0"/>
        <w:jc w:val="center"/>
        <w:rPr/>
      </w:pPr>
      <w:r>
        <w:rPr/>
      </w:r>
    </w:p>
    <w:p>
      <w:pPr>
        <w:pStyle w:val="TextBody"/>
        <w:bidi w:val="0"/>
        <w:spacing w:lineRule="auto" w:line="256" w:before="0" w:after="0"/>
        <w:jc w:val="left"/>
        <w:rPr/>
      </w:pPr>
      <w:r>
        <w:rPr>
          <w:rFonts w:ascii="Arial;sans-serif" w:hAnsi="Arial;sans-serif"/>
          <w:b w:val="false"/>
          <w:color w:val="000000"/>
          <w:sz w:val="22"/>
          <w:shd w:fill="FFFFFF" w:val="clear"/>
        </w:rPr>
        <w:t xml:space="preserve">The Company confirms that from 27 July 2026 up to and including 31 July 2026 it </w:t>
      </w:r>
      <w:r>
        <w:rPr>
          <w:rFonts w:ascii="Arial;sans-serif" w:hAnsi="Arial;sans-serif"/>
          <w:b w:val="false"/>
          <w:color w:val="000000"/>
          <w:sz w:val="22"/>
        </w:rPr>
        <w:t>purchased a total of: (i) 216,400 ordinary shares of EUR 0.01 ("</w:t>
      </w:r>
      <w:r>
        <w:rPr>
          <w:rFonts w:ascii="Arial;sans-serif" w:hAnsi="Arial;sans-serif"/>
          <w:b/>
          <w:color w:val="000000"/>
          <w:sz w:val="22"/>
        </w:rPr>
        <w:t>ordinary shares</w:t>
      </w:r>
      <w:r>
        <w:rPr>
          <w:rFonts w:ascii="Arial;sans-serif" w:hAnsi="Arial;sans-serif"/>
          <w:b w:val="false"/>
          <w:color w:val="000000"/>
          <w:sz w:val="22"/>
        </w:rPr>
        <w:t>") on the US Trading Venues</w:t>
      </w:r>
      <w:r>
        <w:rPr>
          <w:rFonts w:ascii="Arial;sans-serif" w:hAnsi="Arial;sans-serif"/>
          <w:b/>
          <w:color w:val="000000"/>
          <w:sz w:val="14"/>
        </w:rPr>
        <w:t>[1]</w:t>
      </w:r>
      <w:r>
        <w:rPr>
          <w:color w:val="000000"/>
        </w:rPr>
        <w:t xml:space="preserve"> </w:t>
      </w:r>
      <w:r>
        <w:rPr>
          <w:rFonts w:ascii="Arial;sans-serif" w:hAnsi="Arial;sans-serif"/>
          <w:b w:val="false"/>
          <w:color w:val="000000"/>
          <w:sz w:val="22"/>
        </w:rPr>
        <w:t>and (ii) 45,267 ordinary shares on the London Trading Venues</w:t>
      </w:r>
      <w:r>
        <w:rPr>
          <w:rFonts w:ascii="Arial;sans-serif" w:hAnsi="Arial;sans-serif"/>
          <w:b/>
          <w:color w:val="000000"/>
          <w:sz w:val="14"/>
        </w:rPr>
        <w:t>[2]</w:t>
      </w:r>
      <w:r>
        <w:rPr>
          <w:rFonts w:ascii="Arial;sans-serif" w:hAnsi="Arial;sans-serif"/>
          <w:b w:val="false"/>
          <w:color w:val="000000"/>
          <w:sz w:val="22"/>
        </w:rPr>
        <w:t>; in both cases, from Goldman Sachs &amp; Co. LLC, Goldman Sachs International or one of their affiliates, as detailed below.</w:t>
      </w:r>
    </w:p>
    <w:p>
      <w:pPr>
        <w:pStyle w:val="TextBody"/>
        <w:bidi w:val="0"/>
        <w:spacing w:before="0" w:after="0"/>
        <w:jc w:val="both"/>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The repurchased ordinary shares will be cancelled.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0"/>
        <w:gridCol w:w="263"/>
        <w:gridCol w:w="269"/>
        <w:gridCol w:w="859"/>
        <w:gridCol w:w="859"/>
        <w:gridCol w:w="862"/>
        <w:gridCol w:w="451"/>
        <w:gridCol w:w="443"/>
        <w:gridCol w:w="444"/>
        <w:gridCol w:w="693"/>
        <w:gridCol w:w="684"/>
        <w:gridCol w:w="687"/>
        <w:gridCol w:w="609"/>
        <w:gridCol w:w="609"/>
        <w:gridCol w:w="611"/>
        <w:gridCol w:w="516"/>
        <w:gridCol w:w="429"/>
        <w:gridCol w:w="617"/>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Date</w:t>
            </w:r>
          </w:p>
        </w:tc>
        <w:tc>
          <w:tcPr>
            <w:tcW w:w="25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Aggregate number of ordinary shares purchased</w:t>
            </w:r>
          </w:p>
        </w:tc>
        <w:tc>
          <w:tcPr>
            <w:tcW w:w="133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Highest price paid</w:t>
            </w:r>
          </w:p>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(per ordinary share)</w:t>
            </w:r>
          </w:p>
        </w:tc>
        <w:tc>
          <w:tcPr>
            <w:tcW w:w="20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Lowest price paid (per ordinary share)</w:t>
            </w:r>
          </w:p>
        </w:tc>
        <w:tc>
          <w:tcPr>
            <w:tcW w:w="18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Volume weighted average price</w:t>
            </w:r>
          </w:p>
        </w:tc>
        <w:tc>
          <w:tcPr>
            <w:tcW w:w="156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Trading venue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108.8300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105.7200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107.8567</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10,606</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81.0000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78.7500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79.7536</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28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26,400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110.9000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110.3500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110.7814</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28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4,661</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83.2000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82.1500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82.7395</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29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111.7100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110.3900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110.9324</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29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84.0500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83.0500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83.4448</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111.7000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110.3150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111.2134</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84.2500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82.4000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83.1702</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31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110.4700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109.2000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109.7641</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31 July 2026</w:t>
            </w:r>
          </w:p>
        </w:tc>
        <w:tc>
          <w:tcPr>
            <w:tcW w:w="25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13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82.9500</w:t>
            </w:r>
          </w:p>
        </w:tc>
        <w:tc>
          <w:tcPr>
            <w:tcW w:w="2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81.5000</w:t>
            </w:r>
          </w:p>
        </w:tc>
        <w:tc>
          <w:tcPr>
            <w:tcW w:w="18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82.2452</w:t>
            </w:r>
          </w:p>
        </w:tc>
        <w:tc>
          <w:tcPr>
            <w:tcW w:w="156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bl>
    <w:p>
      <w:pPr>
        <w:pStyle w:val="TextBody"/>
        <w:bidi w:val="0"/>
        <w:jc w:val="center"/>
        <w:rPr/>
      </w:pPr>
      <w:r>
        <w:rPr/>
      </w:r>
    </w:p>
    <w:p>
      <w:pPr>
        <w:pStyle w:val="TextBody"/>
        <w:bidi w:val="0"/>
        <w:spacing w:before="0" w:after="0"/>
        <w:jc w:val="left"/>
        <w:rPr/>
      </w:pPr>
      <w:r>
        <w:rPr/>
        <w:drawing>
          <wp:inline distT="0" distB="0" distL="0" distR="0">
            <wp:extent cx="1343025" cy="904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22"/>
        </w:rPr>
        <w:t>The purchases form part of the Company's share buyback programme announced on 17 February 2026 (the "</w:t>
      </w:r>
      <w:r>
        <w:rPr>
          <w:rFonts w:ascii="Arial;sans-serif" w:hAnsi="Arial;sans-serif"/>
          <w:b/>
          <w:color w:val="000000"/>
          <w:sz w:val="22"/>
        </w:rPr>
        <w:t>Programme</w:t>
      </w:r>
      <w:r>
        <w:rPr>
          <w:rFonts w:ascii="Arial;sans-serif" w:hAnsi="Arial;sans-serif"/>
          <w:b w:val="false"/>
          <w:color w:val="000000"/>
          <w:sz w:val="22"/>
        </w:rPr>
        <w:t>"). In connection with the Programme, the Company expects to repurchase up to EUR 1 billion of ordinary shares (in aggregate).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accordance with Article 5(1)(b) of Regulation (EU) No 596/2014 as it applies in the UK (the Market Abuse Regulation), full details of the transactions, in aggregated and detailed form, are available through the link below:</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http://www.rns-pdf.londonstockexchange.com/rns/0502P_1-2026-8-3.pdf</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CONTACTS</w:t>
      </w:r>
    </w:p>
    <w:p>
      <w:pPr>
        <w:pStyle w:val="TextBody"/>
        <w:bidi w:val="0"/>
        <w:spacing w:before="0" w:after="0"/>
        <w:jc w:val="left"/>
        <w:rPr/>
      </w:pPr>
      <w:r>
        <w:rPr/>
      </w:r>
    </w:p>
    <w:tbl>
      <w:tblPr>
        <w:tblW w:w="8748" w:type="dxa"/>
        <w:jc w:val="left"/>
        <w:tblInd w:w="0" w:type="dxa"/>
        <w:tblLayout w:type="fixed"/>
        <w:tblCellMar>
          <w:top w:w="28" w:type="dxa"/>
          <w:left w:w="28" w:type="dxa"/>
          <w:bottom w:w="28" w:type="dxa"/>
          <w:right w:w="28" w:type="dxa"/>
        </w:tblCellMar>
      </w:tblPr>
      <w:tblGrid>
        <w:gridCol w:w="1104"/>
        <w:gridCol w:w="970"/>
        <w:gridCol w:w="972"/>
        <w:gridCol w:w="880"/>
        <w:gridCol w:w="880"/>
        <w:gridCol w:w="881"/>
        <w:gridCol w:w="896"/>
        <w:gridCol w:w="896"/>
        <w:gridCol w:w="1269"/>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Company Secretariat</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Svetlana Walker</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svetlana.walker@ccep.com</w:t>
            </w:r>
          </w:p>
        </w:tc>
        <w:tc>
          <w:tcPr>
            <w:tcW w:w="26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Investor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Sarah Willett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sarah.willett@ccep.com</w:t>
            </w:r>
          </w:p>
        </w:tc>
        <w:tc>
          <w:tcPr>
            <w:tcW w:w="30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Media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Shanna Wendt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mediaenquiries@ccep.com</w:t>
            </w:r>
          </w:p>
        </w:tc>
      </w:tr>
    </w:tbl>
    <w:p>
      <w:pPr>
        <w:pStyle w:val="TextBody"/>
        <w:bidi w:val="0"/>
        <w:spacing w:before="0" w:after="0"/>
        <w:jc w:val="left"/>
        <w:rPr/>
      </w:pPr>
      <w:r>
        <w:rPr/>
      </w:r>
    </w:p>
    <w:p>
      <w:pPr>
        <w:pStyle w:val="TextBody"/>
        <w:bidi w:val="0"/>
        <w:spacing w:lineRule="auto" w:line="256" w:before="0" w:after="0"/>
        <w:jc w:val="both"/>
        <w:rPr>
          <w:rFonts w:ascii="Arial;sans-serif" w:hAnsi="Arial;sans-serif"/>
          <w:b/>
          <w:color w:val="000000"/>
          <w:sz w:val="24"/>
        </w:rPr>
      </w:pPr>
      <w:r>
        <w:rPr>
          <w:rFonts w:ascii="Arial;sans-serif" w:hAnsi="Arial;sans-serif"/>
          <w:b/>
          <w:color w:val="000000"/>
          <w:sz w:val="24"/>
        </w:rPr>
        <w:t>ABOUT CCEP</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Coca-Cola Europacific Partners is one of the world’s leading consumer goods companies. We make, move and sell some of the world’s most loved brands – serving nearly 600 million consumers and helping over 4 million customers across 31 countries grow.</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We combine the strength and scale of a large, multi-national business with an expert, local knowledge of the customers we serve and communities we support.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is currently listed on Euronext Amsterdam, NASDAQ, London Stock Exchange and on the Spanish Stock Exchanges, and a constituent of both the NASDAQ 100 and FTSE 100 indices, trading under the symbol CCEP (ISIN No. GB00BDCPN049).</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For more information about CCEP, please visit www.cocacolaep.com and follow CCEP on LinkedIn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1" w:before="0" w:after="0"/>
        <w:jc w:val="left"/>
        <w:rPr/>
      </w:pPr>
      <w:r>
        <w:rPr>
          <w:rFonts w:ascii="Arial;sans-serif" w:hAnsi="Arial;sans-serif"/>
          <w:b/>
          <w:color w:val="000000"/>
          <w:sz w:val="14"/>
        </w:rPr>
        <w:t>[1]</w:t>
      </w:r>
      <w:r>
        <w:rPr>
          <w:color w:val="000000"/>
        </w:rPr>
        <w:t xml:space="preserve"> </w:t>
      </w:r>
      <w:r>
        <w:rPr>
          <w:rFonts w:ascii="Arial;sans-serif" w:hAnsi="Arial;sans-serif"/>
          <w:b w:val="false"/>
          <w:color w:val="000000"/>
          <w:sz w:val="16"/>
        </w:rPr>
        <w:t xml:space="preserve">The “US Trading Venues” comprise Nasdaq and other applicable US trading venues. </w:t>
      </w:r>
    </w:p>
    <w:p>
      <w:pPr>
        <w:pStyle w:val="TextBody"/>
        <w:bidi w:val="0"/>
        <w:spacing w:lineRule="auto" w:line="331" w:before="0" w:after="0"/>
        <w:jc w:val="left"/>
        <w:rPr/>
      </w:pPr>
      <w:r>
        <w:rPr>
          <w:rFonts w:ascii="Arial;sans-serif" w:hAnsi="Arial;sans-serif"/>
          <w:b/>
          <w:color w:val="000000"/>
          <w:sz w:val="14"/>
        </w:rPr>
        <w:t>[2]</w:t>
      </w:r>
      <w:r>
        <w:rPr>
          <w:color w:val="000000"/>
        </w:rPr>
        <w:t xml:space="preserve"> </w:t>
      </w:r>
      <w:r>
        <w:rPr>
          <w:rFonts w:ascii="Arial;sans-serif" w:hAnsi="Arial;sans-serif"/>
          <w:b w:val="false"/>
          <w:color w:val="000000"/>
          <w:sz w:val="16"/>
        </w:rPr>
        <w:t xml:space="preserve">The “London Trading Venues” comprise the London Stock Exchange, CBOE Europe Limited (BXE), CBOE Europe Limited (CXE) and Aquis. Goldman Sachs acquired CREST Depositary Interests on the London Trading Venues, which will be cancelled together with the underlying shares they represent.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526" w:type="dxa"/>
        <w:jc w:val="left"/>
        <w:tblInd w:w="0" w:type="dxa"/>
        <w:tblLayout w:type="fixed"/>
        <w:tblCellMar>
          <w:top w:w="28" w:type="dxa"/>
          <w:left w:w="28" w:type="dxa"/>
          <w:bottom w:w="28" w:type="dxa"/>
          <w:right w:w="28" w:type="dxa"/>
        </w:tblCellMar>
      </w:tblPr>
      <w:tblGrid>
        <w:gridCol w:w="711"/>
        <w:gridCol w:w="624"/>
        <w:gridCol w:w="630"/>
        <w:gridCol w:w="664"/>
        <w:gridCol w:w="664"/>
        <w:gridCol w:w="664"/>
        <w:gridCol w:w="1039"/>
        <w:gridCol w:w="1039"/>
        <w:gridCol w:w="149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COCA-COLA EUROPACIFIC PARTNERS PLC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(Registrant)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3, 2026</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Svetlana Walker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Svetlana Walker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 &amp; Company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641</Words>
  <Characters>3546</Characters>
  <CharactersWithSpaces>4071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