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0001992541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COCA-COLA EUROPACIFIC PARTNERS plc</w:t>
      </w:r>
    </w:p>
    <w:p>
      <w:pPr>
        <w:spacing w:after="0" w:line="44" w:lineRule="exact"/>
        <w:rPr>
          <w:sz w:val="24"/>
          <w:szCs w:val="24"/>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001-37791</w:t>
      </w:r>
    </w:p>
    <w:p>
      <w:pPr>
        <w:spacing w:after="0" w:line="44"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22"/>
          <w:szCs w:val="22"/>
          <w:color w:val="auto"/>
        </w:rPr>
        <w:t>PEMBERTON HOUSE</w:t>
      </w:r>
    </w:p>
    <w:p>
      <w:pPr>
        <w:spacing w:after="0" w:line="4"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22"/>
          <w:szCs w:val="22"/>
          <w:color w:val="auto"/>
        </w:rPr>
        <w:t>BAKERS ROAD</w:t>
      </w:r>
    </w:p>
    <w:p>
      <w:pPr>
        <w:ind w:left="40"/>
        <w:spacing w:after="0"/>
        <w:tabs>
          <w:tab w:leader="none" w:pos="572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UXBRIDGE</w:t>
      </w:r>
    </w:p>
    <w:p>
      <w:pPr>
        <w:ind w:left="5740"/>
        <w:spacing w:after="0" w:line="231" w:lineRule="auto"/>
        <w:rPr>
          <w:sz w:val="20"/>
          <w:szCs w:val="20"/>
          <w:color w:val="auto"/>
        </w:rPr>
      </w:pPr>
      <w:r>
        <w:rPr>
          <w:rFonts w:ascii="Times New Roman" w:cs="Times New Roman" w:eastAsia="Times New Roman" w:hAnsi="Times New Roman"/>
          <w:sz w:val="22"/>
          <w:szCs w:val="22"/>
          <w:color w:val="auto"/>
        </w:rPr>
        <w:t>UNITED KINGDOM</w:t>
      </w:r>
    </w:p>
    <w:p>
      <w:pPr>
        <w:ind w:left="5740"/>
        <w:spacing w:after="0"/>
        <w:rPr>
          <w:sz w:val="20"/>
          <w:szCs w:val="20"/>
          <w:color w:val="auto"/>
        </w:rPr>
      </w:pPr>
      <w:r>
        <w:rPr>
          <w:rFonts w:ascii="Times New Roman" w:cs="Times New Roman" w:eastAsia="Times New Roman" w:hAnsi="Times New Roman"/>
          <w:sz w:val="22"/>
          <w:szCs w:val="22"/>
          <w:color w:val="auto"/>
        </w:rPr>
        <w:t>UB8</w:t>
      </w:r>
    </w:p>
    <w:p>
      <w:pPr>
        <w:spacing w:after="0" w:line="20" w:lineRule="exact"/>
        <w:rPr>
          <w:sz w:val="24"/>
          <w:szCs w:val="24"/>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441895231313</w:t>
      </w:r>
    </w:p>
    <w:p>
      <w:pPr>
        <w:ind w:left="40"/>
        <w:spacing w:after="0" w:line="188" w:lineRule="auto"/>
        <w:rPr>
          <w:sz w:val="20"/>
          <w:szCs w:val="20"/>
          <w:color w:val="auto"/>
        </w:rPr>
      </w:pPr>
      <w:r>
        <w:rPr>
          <w:rFonts w:ascii="Times New Roman" w:cs="Times New Roman" w:eastAsia="Times New Roman" w:hAnsi="Times New Roman"/>
          <w:sz w:val="21"/>
          <w:szCs w:val="21"/>
          <w:color w:val="auto"/>
        </w:rPr>
        <w:t>Name of Person for Whose Account the Securities are To Be</w:t>
      </w:r>
    </w:p>
    <w:tbl>
      <w:tblPr>
        <w:tblLayout w:type="fixed"/>
        <w:tblInd w:w="40" w:type="dxa"/>
        <w:tblCellMar>
          <w:top w:w="0" w:type="dxa"/>
          <w:left w:w="0" w:type="dxa"/>
          <w:bottom w:w="0" w:type="dxa"/>
          <w:right w:w="0" w:type="dxa"/>
        </w:tblCellMar>
      </w:tblPr>
      <w:tr>
        <w:trPr>
          <w:trHeight w:val="282"/>
        </w:trPr>
        <w:tc>
          <w:tcPr>
            <w:tcW w:w="3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Sold</w:t>
            </w:r>
          </w:p>
        </w:tc>
        <w:tc>
          <w:tcPr>
            <w:tcW w:w="5320" w:type="dxa"/>
            <w:vAlign w:val="bottom"/>
          </w:tcPr>
          <w:p>
            <w:pPr>
              <w:ind w:left="2660"/>
              <w:spacing w:after="0"/>
              <w:rPr>
                <w:sz w:val="20"/>
                <w:szCs w:val="20"/>
                <w:color w:val="auto"/>
              </w:rPr>
            </w:pPr>
            <w:r>
              <w:rPr>
                <w:rFonts w:ascii="Times New Roman" w:cs="Times New Roman" w:eastAsia="Times New Roman" w:hAnsi="Times New Roman"/>
                <w:sz w:val="22"/>
                <w:szCs w:val="22"/>
                <w:color w:val="auto"/>
                <w:w w:val="96"/>
              </w:rPr>
              <w:t>Echeverria Villar Jose Antonio</w:t>
            </w:r>
          </w:p>
        </w:tc>
        <w:tc>
          <w:tcPr>
            <w:tcW w:w="0" w:type="dxa"/>
            <w:vAlign w:val="bottom"/>
          </w:tcPr>
          <w:p>
            <w:pPr>
              <w:spacing w:after="0"/>
              <w:rPr>
                <w:sz w:val="1"/>
                <w:szCs w:val="1"/>
                <w:color w:val="auto"/>
              </w:rPr>
            </w:pPr>
          </w:p>
        </w:tc>
      </w:tr>
      <w:tr>
        <w:trPr>
          <w:trHeight w:val="97"/>
        </w:trPr>
        <w:tc>
          <w:tcPr>
            <w:tcW w:w="3040" w:type="dxa"/>
            <w:vAlign w:val="bottom"/>
            <w:vMerge w:val="continue"/>
          </w:tcPr>
          <w:p>
            <w:pPr>
              <w:spacing w:after="0"/>
              <w:rPr>
                <w:sz w:val="8"/>
                <w:szCs w:val="8"/>
                <w:color w:val="auto"/>
              </w:rPr>
            </w:pPr>
          </w:p>
        </w:tc>
        <w:tc>
          <w:tcPr>
            <w:tcW w:w="5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Relationship to Issuer</w:t>
            </w:r>
          </w:p>
        </w:tc>
        <w:tc>
          <w:tcPr>
            <w:tcW w:w="686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Officer</w:t>
            </w:r>
          </w:p>
        </w:tc>
        <w:tc>
          <w:tcPr>
            <w:tcW w:w="0" w:type="dxa"/>
            <w:vAlign w:val="bottom"/>
          </w:tcPr>
          <w:p>
            <w:pPr>
              <w:spacing w:after="0"/>
              <w:rPr>
                <w:sz w:val="1"/>
                <w:szCs w:val="1"/>
                <w:color w:val="auto"/>
              </w:rPr>
            </w:pPr>
          </w:p>
        </w:tc>
      </w:tr>
      <w:tr>
        <w:trPr>
          <w:trHeight w:val="258"/>
        </w:trPr>
        <w:tc>
          <w:tcPr>
            <w:tcW w:w="3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Relationship to Issuer</w:t>
            </w:r>
          </w:p>
        </w:tc>
        <w:tc>
          <w:tcPr>
            <w:tcW w:w="6860" w:type="dxa"/>
            <w:vAlign w:val="bottom"/>
          </w:tcPr>
          <w:p>
            <w:pPr>
              <w:ind w:left="1900"/>
              <w:spacing w:after="0"/>
              <w:rPr>
                <w:sz w:val="20"/>
                <w:szCs w:val="20"/>
                <w:color w:val="auto"/>
              </w:rPr>
            </w:pPr>
            <w:r>
              <w:rPr>
                <w:rFonts w:ascii="Times New Roman" w:cs="Times New Roman" w:eastAsia="Times New Roman" w:hAnsi="Times New Roman"/>
                <w:sz w:val="22"/>
                <w:szCs w:val="22"/>
                <w:color w:val="auto"/>
                <w:w w:val="97"/>
              </w:rPr>
              <w:t>GM FRANCE AND NORTHERN EUROPE BUSINESS</w:t>
            </w:r>
          </w:p>
        </w:tc>
        <w:tc>
          <w:tcPr>
            <w:tcW w:w="0" w:type="dxa"/>
            <w:vAlign w:val="bottom"/>
          </w:tcPr>
          <w:p>
            <w:pPr>
              <w:spacing w:after="0"/>
              <w:rPr>
                <w:sz w:val="1"/>
                <w:szCs w:val="1"/>
                <w:color w:val="auto"/>
              </w:rPr>
            </w:pPr>
          </w:p>
        </w:tc>
      </w:tr>
      <w:tr>
        <w:trPr>
          <w:trHeight w:val="161"/>
        </w:trPr>
        <w:tc>
          <w:tcPr>
            <w:tcW w:w="3800" w:type="dxa"/>
            <w:vAlign w:val="bottom"/>
            <w:vMerge w:val="continue"/>
          </w:tcPr>
          <w:p>
            <w:pPr>
              <w:spacing w:after="0"/>
              <w:rPr>
                <w:sz w:val="13"/>
                <w:szCs w:val="13"/>
                <w:color w:val="auto"/>
              </w:rPr>
            </w:pPr>
          </w:p>
        </w:tc>
        <w:tc>
          <w:tcPr>
            <w:tcW w:w="6860" w:type="dxa"/>
            <w:vAlign w:val="bottom"/>
            <w:vMerge w:val="restart"/>
          </w:tcPr>
          <w:p>
            <w:pPr>
              <w:ind w:left="1900"/>
              <w:spacing w:after="0"/>
              <w:rPr>
                <w:sz w:val="20"/>
                <w:szCs w:val="20"/>
                <w:color w:val="auto"/>
              </w:rPr>
            </w:pPr>
            <w:r>
              <w:rPr>
                <w:rFonts w:ascii="Times New Roman" w:cs="Times New Roman" w:eastAsia="Times New Roman" w:hAnsi="Times New Roman"/>
                <w:sz w:val="22"/>
                <w:szCs w:val="22"/>
                <w:color w:val="auto"/>
              </w:rPr>
              <w:t>UNIT</w:t>
            </w:r>
          </w:p>
        </w:tc>
        <w:tc>
          <w:tcPr>
            <w:tcW w:w="0" w:type="dxa"/>
            <w:vAlign w:val="bottom"/>
          </w:tcPr>
          <w:p>
            <w:pPr>
              <w:spacing w:after="0"/>
              <w:rPr>
                <w:sz w:val="1"/>
                <w:szCs w:val="1"/>
                <w:color w:val="auto"/>
              </w:rPr>
            </w:pPr>
          </w:p>
        </w:tc>
      </w:tr>
      <w:tr>
        <w:trPr>
          <w:trHeight w:val="121"/>
        </w:trPr>
        <w:tc>
          <w:tcPr>
            <w:tcW w:w="3800" w:type="dxa"/>
            <w:vAlign w:val="bottom"/>
          </w:tcPr>
          <w:p>
            <w:pPr>
              <w:spacing w:after="0"/>
              <w:rPr>
                <w:sz w:val="10"/>
                <w:szCs w:val="10"/>
                <w:color w:val="auto"/>
              </w:rPr>
            </w:pPr>
          </w:p>
        </w:tc>
        <w:tc>
          <w:tcPr>
            <w:tcW w:w="6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14"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97950.00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460947057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214"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1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40" w:type="dxa"/>
            <w:vAlign w:val="bottom"/>
            <w:vMerge w:val="restart"/>
          </w:tcPr>
          <w:p>
            <w:pPr>
              <w:jc w:val="center"/>
              <w:ind w:left="57"/>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w w:val="99"/>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3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4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ind w:left="57"/>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660" w:type="dxa"/>
            <w:vAlign w:val="bottom"/>
          </w:tcPr>
          <w:p>
            <w:pPr>
              <w:ind w:left="34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40" w:type="dxa"/>
            <w:vAlign w:val="bottom"/>
            <w:vMerge w:val="restart"/>
          </w:tcPr>
          <w:p>
            <w:pPr>
              <w:jc w:val="center"/>
              <w:ind w:left="57"/>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60" w:type="dxa"/>
            <w:vAlign w:val="bottom"/>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 PLAN</w:t>
            </w:r>
          </w:p>
        </w:tc>
        <w:tc>
          <w:tcPr>
            <w:tcW w:w="16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COCA COLA</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line="217" w:lineRule="exact"/>
              <w:rPr>
                <w:sz w:val="20"/>
                <w:szCs w:val="20"/>
                <w:color w:val="auto"/>
              </w:rPr>
            </w:pPr>
            <w:r>
              <w:rPr>
                <w:rFonts w:ascii="Times New Roman" w:cs="Times New Roman" w:eastAsia="Times New Roman" w:hAnsi="Times New Roman"/>
                <w:sz w:val="22"/>
                <w:szCs w:val="22"/>
                <w:color w:val="auto"/>
              </w:rPr>
              <w:t>ORDINARY</w:t>
            </w:r>
          </w:p>
        </w:tc>
        <w:tc>
          <w:tcPr>
            <w:tcW w:w="1120" w:type="dxa"/>
            <w:vAlign w:val="bottom"/>
          </w:tcPr>
          <w:p>
            <w:pPr>
              <w:spacing w:after="0"/>
              <w:rPr>
                <w:sz w:val="10"/>
                <w:szCs w:val="10"/>
                <w:color w:val="auto"/>
              </w:rPr>
            </w:pPr>
          </w:p>
        </w:tc>
        <w:tc>
          <w:tcPr>
            <w:tcW w:w="154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22"/>
                <w:szCs w:val="22"/>
                <w:color w:val="auto"/>
              </w:rPr>
              <w:t>ACCOUNT</w:t>
            </w:r>
          </w:p>
        </w:tc>
        <w:tc>
          <w:tcPr>
            <w:tcW w:w="16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6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EUROPACIFIC</w:t>
            </w: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vMerge w:val="restart"/>
          </w:tcPr>
          <w:p>
            <w:pPr>
              <w:jc w:val="right"/>
              <w:ind w:right="639"/>
              <w:spacing w:after="0"/>
              <w:rPr>
                <w:sz w:val="20"/>
                <w:szCs w:val="20"/>
                <w:color w:val="auto"/>
              </w:rPr>
            </w:pPr>
            <w:r>
              <w:rPr>
                <w:rFonts w:ascii="Times New Roman" w:cs="Times New Roman" w:eastAsia="Times New Roman" w:hAnsi="Times New Roman"/>
                <w:sz w:val="22"/>
                <w:szCs w:val="22"/>
                <w:color w:val="auto"/>
                <w:w w:val="99"/>
              </w:rPr>
              <w:t>1000</w:t>
            </w:r>
          </w:p>
        </w:tc>
        <w:tc>
          <w:tcPr>
            <w:tcW w:w="2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06/23/2026 COMPENSATION</w:t>
            </w:r>
          </w:p>
        </w:tc>
        <w:tc>
          <w:tcPr>
            <w:tcW w:w="0" w:type="dxa"/>
            <w:vAlign w:val="bottom"/>
          </w:tcPr>
          <w:p>
            <w:pPr>
              <w:spacing w:after="0"/>
              <w:rPr>
                <w:sz w:val="1"/>
                <w:szCs w:val="1"/>
                <w:color w:val="auto"/>
              </w:rPr>
            </w:pPr>
          </w:p>
        </w:tc>
      </w:tr>
      <w:tr>
        <w:trPr>
          <w:trHeight w:val="172"/>
        </w:trPr>
        <w:tc>
          <w:tcPr>
            <w:tcW w:w="134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SHARES</w:t>
            </w:r>
          </w:p>
        </w:tc>
        <w:tc>
          <w:tcPr>
            <w:tcW w:w="2660" w:type="dxa"/>
            <w:vAlign w:val="bottom"/>
            <w:gridSpan w:val="2"/>
          </w:tcPr>
          <w:p>
            <w:pPr>
              <w:ind w:left="140"/>
              <w:spacing w:after="0" w:line="172" w:lineRule="exact"/>
              <w:rPr>
                <w:sz w:val="20"/>
                <w:szCs w:val="20"/>
                <w:color w:val="auto"/>
              </w:rPr>
            </w:pPr>
            <w:r>
              <w:rPr>
                <w:rFonts w:ascii="Times New Roman" w:cs="Times New Roman" w:eastAsia="Times New Roman" w:hAnsi="Times New Roman"/>
                <w:sz w:val="13"/>
                <w:szCs w:val="13"/>
                <w:color w:val="auto"/>
              </w:rPr>
              <w:t xml:space="preserve">06/23/2026 </w:t>
            </w:r>
            <w:r>
              <w:rPr>
                <w:rFonts w:ascii="Times New Roman" w:cs="Times New Roman" w:eastAsia="Times New Roman" w:hAnsi="Times New Roman"/>
                <w:sz w:val="19"/>
                <w:szCs w:val="19"/>
                <w:color w:val="auto"/>
                <w:vertAlign w:val="subscript"/>
              </w:rPr>
              <w:t>VESTED</w:t>
            </w:r>
          </w:p>
        </w:tc>
        <w:tc>
          <w:tcPr>
            <w:tcW w:w="16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SHARES</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PARTNERS plc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1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SECTION 3 D AGGREGATE FMV BASED ON INDICATIVE MARKET PRICE OF 97.95. UNDER SECURITIES TO BE SOLD DATE ACQUIRED COME FROM VARIOUS DATES AND YEARS.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06/23/2026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2026-06-23T10:06:39Z</dcterms:created>
  <dcterms:modified xsi:type="dcterms:W3CDTF">2026-06-23T10:06:39Z</dcterms:modified>
</cp:coreProperties>
</file>